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4F1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Patients' oral hydration levels and incidence of immediate to short-term mild side-effects in contrast agent enhanced MRI diagnostics</w:t>
      </w:r>
    </w:p>
    <w:p w14:paraId="4DA1571E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Leon Jonker</w:t>
      </w:r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*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Farshid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Fallahi</w:t>
      </w:r>
      <w:proofErr w:type="spellEnd"/>
    </w:p>
    <w:p w14:paraId="4198045F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North Cumbria University Hospitals NHS Trust, Cumberland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Infirmary, Newtown Road, Carlisle CA2 7HY, UK</w:t>
      </w:r>
    </w:p>
    <w:p w14:paraId="0C71D640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Article history:</w:t>
      </w:r>
    </w:p>
    <w:p w14:paraId="063517F1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Received 10 October 2014</w:t>
      </w:r>
    </w:p>
    <w:p w14:paraId="7385B0B7" w14:textId="42411AE3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Received in revised form</w:t>
      </w:r>
      <w:r w:rsidR="00A727AE">
        <w:rPr>
          <w:rFonts w:asciiTheme="minorHAnsi" w:hAnsiTheme="minorHAnsi" w:cstheme="minorHAnsi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5 December 2014</w:t>
      </w:r>
    </w:p>
    <w:p w14:paraId="6AD95064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Accepted 25 January 2015</w:t>
      </w:r>
    </w:p>
    <w:p w14:paraId="2DEE0C88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Available online 14 February 2015</w:t>
      </w:r>
    </w:p>
    <w:p w14:paraId="684EF571" w14:textId="77777777" w:rsidR="00A727AE" w:rsidRDefault="00A727A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0638F28" w14:textId="56B13BC6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Keywords:</w:t>
      </w:r>
    </w:p>
    <w:p w14:paraId="1B6CCC97" w14:textId="51FD90BA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Contrast agent</w:t>
      </w:r>
      <w:r w:rsid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Magnetic resonance imaging</w:t>
      </w:r>
      <w:r w:rsid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Side-effects</w:t>
      </w:r>
      <w:r w:rsid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Hydration</w:t>
      </w:r>
      <w:r w:rsid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Gadolinium</w:t>
      </w:r>
      <w:r w:rsidR="00A727A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Toxicity</w:t>
      </w:r>
    </w:p>
    <w:p w14:paraId="0930E265" w14:textId="77777777" w:rsidR="00A727AE" w:rsidRDefault="00A727A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9BD2340" w14:textId="77777777" w:rsidR="00A727AE" w:rsidRDefault="00A727A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1179545" w14:textId="45F66F7B" w:rsidR="00A727AE" w:rsidRPr="00A727AE" w:rsidRDefault="00A727AE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7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Abstract</w:t>
      </w:r>
    </w:p>
    <w:p w14:paraId="37F17CC5" w14:textId="67FE47DB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Aim: Gadolinium-based contrast agents for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radiodiagnostic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pur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poses can lead to side effects, including nephrotoxicity in patients with renal insufficiency. This study evaluated whether the occurrence of mild side effects from gadolinium-based contrast enhanced magnetic resonance imaging (MRI) correlates to patients'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oral hydration levels.</w:t>
      </w:r>
    </w:p>
    <w:p w14:paraId="464C6915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Methods: Oral fluid intake levels 24 h pre- and 24 h post-MRI, as well as incidence of mild side-effects experienced 30 min and 24 h post-MRI were recorded by using a patient self-reporting questionnaire. Results: A total of 174 pat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ients, 29 controls, 98 administered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47 receiving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Dotarem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, were enrolled. Overall, the most frequently reported side-effect was headache; nausea only occurred in pa-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tients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receiving contrast agent. One or more side-effects experienced 24 h foll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owing the MRI scan were reported by 10% (controls), 24% (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) and 22% (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Dotarem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) of patients, respectively. Multivariate ordinal regression analysis showed that only male gender (OR 0.24, 95% CI 0.11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0.53) was statistically significantly associated wit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 a decreased incidence of side-effects 30 min after MRI. At 24-h post MRI, a lack of contrast agent (OR 0.40, 95% CI 0.09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1.74) and male gender (OR 0.46, 95% CI 0.19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1.09) were associated with fewer side-effects.</w:t>
      </w:r>
    </w:p>
    <w:p w14:paraId="7C682A75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Conclusions: The level oral fluid intake b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efore and after undergoing gadolinium-based contrast-enhanced MRI does not appear to markedly affect the incidence of common undesirable mild symptoms experienced shortly after the procedure. Confounding differences between patients in reporting side-effec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ts may contribute to these findings.</w:t>
      </w:r>
    </w:p>
    <w:p w14:paraId="042C3C68" w14:textId="77777777" w:rsidR="00A727AE" w:rsidRDefault="00A727A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5A14F854" w14:textId="77777777" w:rsidR="00A727AE" w:rsidRDefault="00A727AE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A0EDE7E" w14:textId="30161449" w:rsidR="00000000" w:rsidRPr="00A35447" w:rsidRDefault="0061795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A35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Introduction</w:t>
      </w:r>
    </w:p>
    <w:p w14:paraId="577A81E8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The use of magnetic resonance imaging (MRI) as a diagnostic tool has risen dramatically and is being further developed all the time.</w:t>
      </w:r>
      <w:hyperlink w:anchor="bookmark6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6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3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Worldwide,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majority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MRI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contrast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enhanced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pro-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cedures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are p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erformed with contrast agents based on chelates of the paramagnetic ion gadolinium.</w:t>
      </w:r>
      <w:hyperlink w:anchor="bookmark7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4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In patients with severe renal function impairment, the use of gadolinium carries the risk of nephrogenic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systemic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fibrosis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(NSF).</w:t>
      </w:r>
      <w:hyperlink w:anchor="bookmark8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5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8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7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Other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non-renal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adverse reactions e.g. anaphylactoid reactions, dizziness and nausea can also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occur.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12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However,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delayed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reactions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have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also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been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repo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rted, typically appearing 24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96 h after intravenous administration.</w:t>
      </w:r>
      <w:hyperlink w:anchor="bookmark12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 xml:space="preserve">13 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Research has focused on reducing the risk of the incidence of adverse events, contrast-induced nephropathy in particular, by</w:t>
      </w:r>
    </w:p>
    <w:p w14:paraId="11D67DF8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applying </w:t>
      </w:r>
      <w:proofErr w:type="gram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patient based</w:t>
      </w:r>
      <w:proofErr w:type="gram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exclusion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criteria to gadolinium-based contrast enhanced MRI and also by increasing the rate of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gadolin-ium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excretion out of the body through hydration protocols. In some studies, patients have been subjected to a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intravenous or oral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hydration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protocol,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pos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itive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lastRenderedPageBreak/>
        <w:t>outcomes.</w:t>
      </w:r>
      <w:hyperlink w:anchor="bookmark13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14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13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16</w:t>
        </w:r>
      </w:hyperlink>
    </w:p>
    <w:p w14:paraId="6CAB6104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The aetiology of reaction rates is unclear but major safety con-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cerns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about residual chelate and/or the possible release of free gadolinium within the body have been made.</w:t>
      </w:r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17</w:t>
      </w:r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This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study aimed to establish whether increased patient fluid intake reduces the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inci-dence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of mild side-effects experienced shortly after a contrast-enhanced MRI scan.</w:t>
      </w:r>
    </w:p>
    <w:p w14:paraId="05B5D310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Methods</w:t>
      </w:r>
    </w:p>
    <w:p w14:paraId="2B6EC2FD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Corresponding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author.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Tel.: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þ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44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01228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814697.</w:t>
      </w:r>
    </w:p>
    <w:p w14:paraId="533B23E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E-mail addresses: </w:t>
      </w:r>
      <w:hyperlink r:id="rId4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leon.jonker@ncuh.nhs.uk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(L. Jonker), </w:t>
      </w:r>
      <w:hyperlink r:id="rId5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farshid.fallahi@ncuh.nhs.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uk</w:t>
        </w:r>
        <w:proofErr w:type="spell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(F.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Fallahi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1EDD0D0B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Ethics</w:t>
      </w:r>
    </w:p>
    <w:p w14:paraId="214A145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In this prospective, multi-centre, controlled observational study, patients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were identified from appointment lists for MRI scans.</w:t>
      </w:r>
    </w:p>
    <w:p w14:paraId="4F210B7D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bookmark0"/>
    </w:p>
    <w:p w14:paraId="602E7363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4843217E" w14:textId="0806CEB5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Eligible patients were provided with an information leaflet, explained the aim of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the study, freedom of choice and invited to participate. Completion and return of the questionnaire </w:t>
      </w:r>
      <w:proofErr w:type="gram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was</w:t>
      </w:r>
      <w:proofErr w:type="gram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deemed as providing informed consent. The study was approved by the National Research Ethics Service, reference 09/H1015/79, and local Trust permission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was obtained at the two participating NHS Trusts; the study was conducted according to principles outlined in the Declaration of Helsinki.</w:t>
      </w:r>
    </w:p>
    <w:p w14:paraId="5268BB1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Patients</w:t>
      </w:r>
    </w:p>
    <w:p w14:paraId="16DE0C71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Inclusion criteria were that the patients were aged &gt;18 years and capable of reading and speaking English. Exclusion criteria were renal insufficiency defined as severe renal impairment (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ie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, GFR [glomerular filtration rate] or eGFR [estimated GFR] &lt;30 mL/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min/1 -73 m</w:t>
      </w:r>
      <w:r w:rsidRPr="00A727A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); in patients with renal dysfunction who had undergone, or who were awaiting, liver transplantation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8,13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; referral for a condition with associated symptom(s) identical to those recorded as potential side effect of co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ntrast agent (e.g. referral for chronic dizziness); patients who were required to fast for the MRI examination; patients who were required to have preparation for small bowel studies with pre scan hydration protocols; any patient who did not have the stand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ard MRI contrast dose of 0.1 mmol per kg. Renal function assessment was conducted in line with local clinical guidelines; due to the anonymous nature of the questionnaire, patients' responses could not be matched with renal function results.</w:t>
      </w:r>
    </w:p>
    <w:p w14:paraId="5F900F8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Contrast agent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14:paraId="34B0D55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The contrast agents used by the two recruitment sites were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(cyclic, non-ionic) and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Dotarem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(cyclic, ionic)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respec-tively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; controls were recruited from the same hospital site using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. No saline or other control substance injection was admi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nistered to the control patients.</w:t>
      </w:r>
    </w:p>
    <w:p w14:paraId="7EF5F50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Both contrast agents were administered at the standard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indi-cated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dose. MRI scanners were all 1.5 T models.</w:t>
      </w:r>
    </w:p>
    <w:p w14:paraId="3CC6CA44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Questionnaire</w:t>
      </w:r>
    </w:p>
    <w:p w14:paraId="314A64C0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Fluid intake, 24 h pre- and 24 h post contrast enhanced MRI, was divided into three ordinal categories: less than 1 L, 1 L to 1.5 L, and more than 1.5 L. Patients who completed the questionnaires were not asked to follow a hydration protocol; it was self-r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eporting fluid intake that was recorded. Symptoms which participants could select: headache, nausea, dizziness, strange taste, other, numbness in legs, and painful injection site (feeling of coldness, swelling, redness). This is identical to the options of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fered by Bailey et al.; the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‘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numbness in legs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’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option was included to establish whether pa-</w:t>
      </w:r>
      <w:proofErr w:type="spellStart"/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tients</w:t>
      </w:r>
      <w:proofErr w:type="spellEnd"/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exhibited acquiescence bias</w:t>
      </w:r>
      <w:hyperlink w:anchor="bookmark15" w:history="1">
        <w:r w:rsidRPr="00A727AE">
          <w:rPr>
            <w:rFonts w:asciiTheme="minorHAnsi" w:eastAsia="Times New Roman" w:hAnsiTheme="minorHAnsi" w:cstheme="minorHAnsi"/>
            <w:color w:val="007CA8"/>
            <w:sz w:val="22"/>
            <w:szCs w:val="22"/>
            <w:vertAlign w:val="superscript"/>
          </w:rPr>
          <w:t>16</w:t>
        </w:r>
      </w:hyperlink>
    </w:p>
    <w:p w14:paraId="0E07EF9F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Statistical analysis</w:t>
      </w:r>
    </w:p>
    <w:p w14:paraId="61806061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Data was collated and analysed using Statistical Package for Social Sciences (S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PSS) version 17.0 (SPSS Inc. Chicago, IL, USA, 2007). A p-value of 0.05 or less was considered statistically significant.</w:t>
      </w:r>
    </w:p>
    <w:p w14:paraId="14FE5D3B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Results</w:t>
      </w:r>
    </w:p>
    <w:p w14:paraId="7D4B5ACD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total of 174 patients completed and returned a questionnaire. </w:t>
      </w:r>
      <w:hyperlink w:anchor="bookmark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>Table 1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summarises the demographics of this sample. There was no difference in the mean age and gender ratio in the three sample groups, controls (no contrast agent),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Dotarem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. Three patients in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Prohance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group did not disclose their gender. The body pa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rt under clinical investigation did not differ either, with all three groups containing patients who were being assessed for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craniofa-cial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problems, liver lesion characterization and musculoskeletal problems. We asked patients to record any side-effects ha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lf an hour after the diagnostic assessment. The first time point for assessing the presence of side-effects, was chosen because ESU Guidelines (2012) recommend patients to remain in the radiology department for 30 min after contrast-enhance MRI. The second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time point was 24 h after the procedure, and therefore the focus was on immediate to short-term effects of contrast agent. </w:t>
      </w:r>
      <w:hyperlink w:anchor="bookmark2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>Table 2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hyperlink w:anchor="bookmark3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>Table 3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show the incidence of side-effects for 30 min and 24 h pos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t-MRI respectively. Contrast agent administration led to more side-effects; furthermore, nausea was only recorded in patients who were administered a contrast agent. Symptoms recorded under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‘other’ by participants included “shaky, tight chest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&amp;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epigastric </w:t>
      </w:r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discomfort”, “very mild </w:t>
      </w:r>
      <w:proofErr w:type="spellStart"/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palpatations</w:t>
      </w:r>
      <w:proofErr w:type="spellEnd"/>
      <w:r w:rsidRPr="00A727AE">
        <w:rPr>
          <w:rFonts w:asciiTheme="minorHAnsi" w:eastAsia="Times New Roman" w:hAnsiTheme="minorHAnsi" w:cstheme="minorHAnsi"/>
          <w:color w:val="000000"/>
          <w:sz w:val="22"/>
          <w:szCs w:val="22"/>
        </w:rPr>
        <w:t>”, and “aching in upper arm”.</w:t>
      </w:r>
    </w:p>
    <w:p w14:paraId="1987C031" w14:textId="70BB4E96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Through multifactorial ordinal regression </w:t>
      </w:r>
      <w:proofErr w:type="gram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analysis</w:t>
      </w:r>
      <w:proofErr w:type="gram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the association of the following factors with the incidence of side-effects post-MRI was explored. At 30 min, the only factor significantly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associated with a decrease in side-effect reporting was male gender. The decrease in side-effects reported in control patients was not significant compared to patients receiving contrast agent and the level of oral fluid intake did not have a bearing on 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he incidence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undesirable effects either (see </w:t>
      </w:r>
      <w:hyperlink w:anchor="bookmark5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>Table 4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). A similar picture emerged for ordinal regression analysis of 24-h post-MRI data, see </w:t>
      </w:r>
      <w:hyperlink w:anchor="bookmark4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>Table 5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 None of the factors were significantly linked to the incidence of side-effects, however there was a trend for: co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ntrol patients and males to report fewer side-effects; patients under the age of 60 and those consuming less than 1.5 L of fluid orally (24 h before the MRI-scan) to report more side-effects.</w:t>
      </w:r>
    </w:p>
    <w:p w14:paraId="07E4DE8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Discussion</w:t>
      </w:r>
    </w:p>
    <w:p w14:paraId="43C2E369" w14:textId="378DFCB1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ESUR guidelines recommend increased fluid intake to m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inimise the risk of adverse event after contrast-enhanced imaging.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8,13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As Ten Dam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&amp;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Wetzels</w:t>
      </w:r>
      <w:hyperlink w:anchor="bookmark9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6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point out, there is actually very limited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evi-dence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from studies to support this recommendation. Only one study by Trivedi et al.</w:t>
      </w:r>
      <w:hyperlink w:anchor="bookmark16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18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has compared a saline hydration protocol with placebo in radiological examination using iodinate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d contrast agents. Various studies have since supported the use of intravenous hydration protocols in patients who will be administered iodinated contrast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media.</w:t>
      </w:r>
      <w:hyperlink w:anchor="bookmark9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6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9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results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our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study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differ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from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those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pre-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sented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by Bailey and colleagues,</w:t>
      </w:r>
      <w:hyperlink w:anchor="bookmark15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16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who showed that a non-randomised oral hydration protocol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consisting of 2 L of clear fluid intake both 24 h before and 24 h after the MRI appointment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reduces the symptom rate 24 h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post MRI from 41% in controls (24 out of 58 patients) to 14% in those that followed the hydration protocol. In Bailey's study, patients reported to a researcher over the telephone, whereas in the present study patients reported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writing. Furthermore, we took a multivariable analysis approach, to take into account potential confounding factors. From this we show that females appear to repo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rt more side-effects than male patients. A similar outcome has been observed in other studies too, both conducted in an Asian population.</w:t>
      </w:r>
      <w:hyperlink w:anchor="bookmark11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11</w:t>
        </w:r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 xml:space="preserve"> </w:t>
        </w:r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,1</w:t>
        </w:r>
        <w:r w:rsidRPr="00A727AE">
          <w:rPr>
            <w:rFonts w:asciiTheme="minorHAnsi" w:hAnsiTheme="minorHAnsi" w:cstheme="minorHAnsi"/>
            <w:color w:val="007CA8"/>
            <w:sz w:val="22"/>
            <w:szCs w:val="22"/>
          </w:rPr>
          <w:t xml:space="preserve"> </w:t>
        </w:r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2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Some limitations of this study include: this is not a randomised controlled trial 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f a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hy-dration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protocol. On the one hand it makes it harder to quantify the true effect of increased hydration levels on symptoms experienced by patients undergoing gadolinium-based contrast enhanced MRI. On the other hand, this does give an insight into 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eal-life hydration levels of patients who attend for MRI in two general district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hos-pitals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>, and an overview of patient-reported symptoms following their MRI. In our study, approximately 40% of patients consumed more than 1.5 L of fluids both before and af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ter the MRI; the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dif-ference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between 1.5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ltr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the specified 2 L of fluids recommended in the hydration protocol by Bailey and colleagues may contribute to the discrepancies seen in mild side-effect incidences between this study and theirs.</w:t>
      </w:r>
      <w:hyperlink w:anchor="bookmark15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16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As in Bailey's study, participants in the present study reported more adverse effects than for example in the clinical trial involving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Dotarem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lastRenderedPageBreak/>
        <w:t>percentages reported in other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studies.</w:t>
      </w:r>
      <w:hyperlink w:anchor="bookmark16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18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  <w:vertAlign w:val="superscript"/>
        </w:rPr>
        <w:t>e</w:t>
      </w:r>
      <w:hyperlink w:anchor="bookmark16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20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self-reporting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method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have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contrib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uted to this discrepancy.</w:t>
      </w:r>
    </w:p>
    <w:p w14:paraId="6180076A" w14:textId="2821AEA4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In this study we focussed on mild to moderate symptoms re-ported by the participants. Mild effects can also occur due to the MRI procedure itself, rather than contrast agent; dizziness being such a manifestation, and indeed observed in both control and con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trast agent patients. Life-threatening adverse events such as NSF are reported to occur several days after undergoing the pro-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cedure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its incidence is 0.0003%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0.0175.</w:t>
      </w:r>
      <w:hyperlink w:anchor="bookmark17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21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Nonetheless, in some radiology units, patients may leave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the imaging department mi-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nutes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after completion of their examination despite recently pub-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lished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ESUR guidance recommended; this is potentially a cause for concern given that it is not uncommon for patients to experience e.g. dizziness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&amp;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nausea, as repor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ted here and byothers.</w:t>
      </w:r>
      <w:hyperlink w:anchor="bookmark14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15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In terms of avoidance of the incidence of NSF, the application of stringent eligibility criteria, exclusion of patients with significant renal impairment, and maximum dose limits, 0.3 mmol/kg body weight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, remains the core strategy.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8,13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Asking patients to increase their fluid intake generally speaking is not likely to cause any adverse effects</w:t>
      </w:r>
      <w:r w:rsidR="00A35447">
        <w:rPr>
          <w:rFonts w:asciiTheme="minorHAnsi" w:hAnsiTheme="minorHAnsi" w:cstheme="minorHAnsi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by itself, apart from in peo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ple with e.g. cardiac failure.</w:t>
      </w:r>
      <w:hyperlink w:anchor="bookmark10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8,13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Since an isotonic saline solution is more effective for reduction of adverse events in iodinated radiodiagnostics,</w:t>
      </w:r>
      <w:hyperlink w:anchor="bookmark9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6,22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the introduction of a saline-based oral hydration protocol could possibly be considered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particularly for patients at higher risk of developing NSF.</w:t>
      </w:r>
    </w:p>
    <w:p w14:paraId="07A957E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In conclusion, the introduction of an oral hydration protocol in patients who are undergoing gadolinium-ba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sed contrast enhanced MRI and who do not have impaired kidney function is unlikely to result in a marked reduction in mild side-effects. However, there likely to be no harm in advising patients to drink plenty clear fluids in line with WHO guidelines.</w:t>
      </w:r>
      <w:hyperlink w:anchor="bookmark18" w:history="1">
        <w:r w:rsidRPr="00A727AE">
          <w:rPr>
            <w:rFonts w:asciiTheme="minorHAnsi" w:hAnsiTheme="minorHAnsi" w:cstheme="minorHAnsi"/>
            <w:color w:val="007CA8"/>
            <w:sz w:val="22"/>
            <w:szCs w:val="22"/>
            <w:vertAlign w:val="superscript"/>
          </w:rPr>
          <w:t>23</w:t>
        </w:r>
      </w:hyperlink>
    </w:p>
    <w:p w14:paraId="340AFCBD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69E366D" w14:textId="2F358A64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Conflict of interest statement</w:t>
      </w:r>
    </w:p>
    <w:p w14:paraId="7E9AB09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None of the authors have any conflicts to declare.</w:t>
      </w:r>
    </w:p>
    <w:p w14:paraId="46A0E501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F756527" w14:textId="7731A557" w:rsidR="00000000" w:rsidRPr="00A35447" w:rsidRDefault="0061795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A35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Acknowledgements</w:t>
      </w:r>
    </w:p>
    <w:p w14:paraId="25B649F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We are indebted to the radiology teams who have assisted with recruiting the patients into the MRI-CASE study, and to Gill Baynes f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or input in earlier stages of this project. We are especially grateful to Mr Chris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Kasap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and Mrs Barbara Telford for setting 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upthe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patient recruitment process at East Lancashire NHS Hospitals and Cum-</w:t>
      </w:r>
      <w:proofErr w:type="spellStart"/>
      <w:r w:rsidRPr="00A727AE">
        <w:rPr>
          <w:rFonts w:asciiTheme="minorHAnsi" w:hAnsiTheme="minorHAnsi" w:cstheme="minorHAnsi"/>
          <w:color w:val="000000"/>
          <w:sz w:val="22"/>
          <w:szCs w:val="22"/>
        </w:rPr>
        <w:t>berland</w:t>
      </w:r>
      <w:proofErr w:type="spellEnd"/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Infirmary Carlisle respectively.</w:t>
      </w:r>
    </w:p>
    <w:p w14:paraId="47ECEA0F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4D58F" w14:textId="77777777" w:rsidR="00A35447" w:rsidRDefault="00A3544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5D410097" w14:textId="66DC09E7" w:rsidR="00000000" w:rsidRPr="005A30D0" w:rsidRDefault="0061795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5A3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References</w:t>
      </w:r>
    </w:p>
    <w:p w14:paraId="21C09BF7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" w:name="bookmark6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1"/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6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Helm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Optimization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gadolinium-based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MRI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agents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for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high magnetic-field applications. Future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2010;2:385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7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96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2C16EA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8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Berquist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MRI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musculoskeletal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system.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LWW;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2012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77F41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2" w:name="bookmark7"/>
      <w:r w:rsidRPr="00A727AE">
        <w:rPr>
          <w:rFonts w:asciiTheme="minorHAnsi" w:hAnsiTheme="minorHAnsi" w:cstheme="minorHAnsi"/>
          <w:color w:val="000000"/>
          <w:sz w:val="22"/>
          <w:szCs w:val="22"/>
        </w:rPr>
        <w:t>3</w:t>
      </w:r>
      <w:bookmarkEnd w:id="2"/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9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Roditi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MRI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agent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safety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renal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impairment.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Clin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Risk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2009;15: 47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10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53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DBCB2F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3" w:name="bookmark8"/>
      <w:r w:rsidRPr="00A727AE">
        <w:rPr>
          <w:rFonts w:asciiTheme="minorHAnsi" w:hAnsiTheme="minorHAnsi" w:cstheme="minorHAnsi"/>
          <w:color w:val="000000"/>
          <w:sz w:val="22"/>
          <w:szCs w:val="22"/>
        </w:rPr>
        <w:t>4</w:t>
      </w:r>
      <w:bookmarkEnd w:id="3"/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11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Miles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AK,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Runge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VM.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agents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for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MRI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safety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update.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Top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Magn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Reson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Imaging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2003;14:426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12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35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0E7FB8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4" w:name="bookmark9"/>
      <w:r w:rsidRPr="00A727AE">
        <w:rPr>
          <w:rFonts w:asciiTheme="minorHAnsi" w:hAnsiTheme="minorHAnsi" w:cstheme="minorHAnsi"/>
          <w:color w:val="000000"/>
          <w:sz w:val="22"/>
          <w:szCs w:val="22"/>
        </w:rPr>
        <w:t>5</w:t>
      </w:r>
      <w:bookmarkEnd w:id="4"/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13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Broome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Nephrogenic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systemic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fibrosis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with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gadolinium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agents: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 summary of the medic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al literature reporting. Eur J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2008;66:230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14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4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D46B82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15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Ten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Dam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MA,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Wetzels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JF.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Toxicity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media: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update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Neth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Med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2008;66:416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16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22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13387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5" w:name="bookmark10"/>
      <w:r w:rsidRPr="00A727AE">
        <w:rPr>
          <w:rFonts w:asciiTheme="minorHAnsi" w:hAnsiTheme="minorHAnsi" w:cstheme="minorHAnsi"/>
          <w:color w:val="000000"/>
          <w:sz w:val="22"/>
          <w:szCs w:val="22"/>
        </w:rPr>
        <w:t>7</w:t>
      </w:r>
      <w:bookmarkEnd w:id="5"/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17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Jorgensen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Contrast-induced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nephropathy: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pathophysiology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and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preventive strategies. Crit Care Nurse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2013;33:37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18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46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6ACD1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8.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19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Thomsen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HS,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Morcos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SK,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Almen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Bellin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M-F,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Bertolotto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Bongartz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al. Nephrogenic systemic fibrosis and gadolinium-based contrast media: updated ESUR contrast medium safety commit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tee guidelines. Eur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2013;23: 307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20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18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4B598E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21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Runge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VM.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safety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media: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literature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review.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Appl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2001;12:8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22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14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lastRenderedPageBreak/>
          <w:t>(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Suppl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)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B760C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6" w:name="bookmark11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6"/>
      <w:r w:rsidRPr="00A727AE">
        <w:rPr>
          <w:rFonts w:asciiTheme="minorHAnsi" w:hAnsiTheme="minorHAnsi" w:cstheme="minorHAnsi"/>
          <w:color w:val="000000"/>
          <w:sz w:val="22"/>
          <w:szCs w:val="22"/>
        </w:rPr>
        <w:t>0.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23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Bellin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Van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Der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Molen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Extra-cellular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gadolinium-based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media: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an overview. Eur J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2008;66:160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24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7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084AA5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11.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25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Jung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JW,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Kang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HR,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Kim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MH,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Lee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Min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KU,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MH,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Immediate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hy-persensitivity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reaction to gadolinium-based MR contrast media. Radiology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2012;264:414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26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22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24770E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12.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27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Zhang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BC,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Hou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Lv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Xu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YW.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Post-marketing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surveillance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study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with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iodix-anol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in 20,185 Chinese patients from routine clinical practices. Br J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2014;87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F82920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7" w:name="bookmark12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7"/>
      <w:r w:rsidRPr="00A727AE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28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Thomsen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HS,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Morcos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SK.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Contrast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media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and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kidney: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European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Society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of Urogenital Radiology Guidelines. Br J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2003;76:513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29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8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4EB70C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8" w:name="bookmark13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8"/>
      <w:r w:rsidRPr="00A727AE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30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Kong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Hou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YF,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LL,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Yao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DK,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Wang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LX.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Comparison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oral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and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intravenous hydration strategies for the prevention of contrast-induced nephropathy in patients undergoing coronary angiography or angioplasty: a randomized clinical trial. Acta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Cardiol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2012;67:565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31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9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D11C1B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9" w:name="bookmark14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9"/>
      <w:r w:rsidRPr="00A727AE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32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Balemans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CE,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Reichert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LJ,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van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Schelven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BI,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van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den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Brand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JA,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Wetzels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JF. Epidemiology of contrast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material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33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induced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nephropathy in the era of hydra-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tion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. Radiology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2012;263:706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34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13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2FFBFF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0" w:name="bookmark15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10"/>
      <w:r w:rsidRPr="00A727AE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35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Bailey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Marshall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Coals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JA.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pilot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study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to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investigate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the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effect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hy-dration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regime upon immediate and 24 h delayed MRI contrast agent re-actions. Radiography 2007;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13:e</w:t>
        </w:r>
        <w:proofErr w:type="gram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90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36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8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E3245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1" w:name="bookmark16"/>
      <w:r w:rsidRPr="00A727AE">
        <w:rPr>
          <w:rFonts w:asciiTheme="minorHAnsi" w:hAnsiTheme="minorHAnsi" w:cstheme="minorHAnsi"/>
          <w:color w:val="000000"/>
          <w:sz w:val="22"/>
          <w:szCs w:val="22"/>
        </w:rPr>
        <w:t>1</w:t>
      </w:r>
      <w:bookmarkEnd w:id="11"/>
      <w:r w:rsidRPr="00A727AE"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37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Shellock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Kanal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Bioeffects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and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safety.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In: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Stark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DD,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Bradley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editors. Magnetic resonance imaging. St. Louis: Mosby; 1999. p. 291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38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306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F66BCE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18.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39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Trivedi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HS,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Moore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Nasr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Aggarwal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Agrawal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Goel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randomized prospective trial to assess the role of saline hydration on the development of contrast nephrotoxicity. Nephron Clin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Pract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2003;93:C29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40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34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92B93F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19.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41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Brugieres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Gaston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Degryse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HR,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Parizel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PM,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Schepper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AM,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Berry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al. Randomised double-blind trial of the safety and efficiency of two gadolinium complexes (Gd-DTPA/DOTA). Neuroradiology 1994;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36:e</w:t>
        </w:r>
        <w:proofErr w:type="gram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27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42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30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D95F96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2" w:name="bookmark17"/>
      <w:r w:rsidRPr="00A727AE">
        <w:rPr>
          <w:rFonts w:asciiTheme="minorHAnsi" w:hAnsiTheme="minorHAnsi" w:cstheme="minorHAnsi"/>
          <w:color w:val="000000"/>
          <w:sz w:val="22"/>
          <w:szCs w:val="22"/>
        </w:rPr>
        <w:t>2</w:t>
      </w:r>
      <w:bookmarkEnd w:id="12"/>
      <w:r w:rsidRPr="00A727AE">
        <w:rPr>
          <w:rFonts w:asciiTheme="minorHAnsi" w:hAnsiTheme="minorHAnsi" w:cstheme="minorHAnsi"/>
          <w:color w:val="000000"/>
          <w:sz w:val="22"/>
          <w:szCs w:val="22"/>
        </w:rPr>
        <w:t>0.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43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Ishiguchi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Takahashi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Safety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of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gadoterate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meglumine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(Gd-DOTA)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a contrast agent for magnetic resonance imaging. Drugs R D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2010;10:133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44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45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34ABB9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21.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45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Herborn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CU,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Honold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Wolf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Kemper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J,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Kinner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S,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Adam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G,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et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al.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Clinical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safety and diagnostic value of the gadolinium chelate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gadoterate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me-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glumine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(Gd-DOTA). Invest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Radiol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gram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2007;42:58</w:t>
        </w:r>
        <w:proofErr w:type="gramEnd"/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>e</w:t>
      </w:r>
      <w:hyperlink r:id="rId46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62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ACB4D1" w14:textId="77777777" w:rsidR="00000000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13" w:name="bookmark18"/>
      <w:r w:rsidRPr="00A727AE">
        <w:rPr>
          <w:rFonts w:asciiTheme="minorHAnsi" w:hAnsiTheme="minorHAnsi" w:cstheme="minorHAnsi"/>
          <w:color w:val="000000"/>
          <w:sz w:val="22"/>
          <w:szCs w:val="22"/>
        </w:rPr>
        <w:t>2</w:t>
      </w:r>
      <w:bookmarkEnd w:id="13"/>
      <w:r w:rsidRPr="00A727AE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ESU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guidelines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contrast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media.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European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Society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Urogenital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Radiology; May 2012. </w:t>
      </w:r>
      <w:hyperlink r:id="rId47" w:history="1"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http://www.esur.org/guidelines/</w:t>
        </w:r>
      </w:hyperlink>
      <w:r w:rsidRPr="00A727AE">
        <w:rPr>
          <w:rFonts w:asciiTheme="minorHAnsi" w:hAnsiTheme="minorHAnsi" w:cstheme="minorHAnsi"/>
          <w:color w:val="007CA8"/>
          <w:sz w:val="22"/>
          <w:szCs w:val="22"/>
        </w:rPr>
        <w:t xml:space="preserve"> 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>[accessed 07.08.14].</w:t>
      </w:r>
    </w:p>
    <w:p w14:paraId="2BA1A33F" w14:textId="5D23E8C4" w:rsidR="00000000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727AE">
        <w:rPr>
          <w:rFonts w:asciiTheme="minorHAnsi" w:hAnsiTheme="minorHAnsi" w:cstheme="minorHAnsi"/>
          <w:color w:val="000000"/>
          <w:sz w:val="22"/>
          <w:szCs w:val="22"/>
        </w:rPr>
        <w:t>23.</w:t>
      </w:r>
      <w:r w:rsidRPr="00A727A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48" w:history="1"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Grandjean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Hydration: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Fluids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for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Life.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North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America: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ILSI;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2004.</w:t>
        </w:r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</w:t>
        </w:r>
        <w:proofErr w:type="spellStart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>Monogrph</w:t>
        </w:r>
        <w:proofErr w:type="spellEnd"/>
        <w:r w:rsidRPr="00A727AE">
          <w:rPr>
            <w:rFonts w:asciiTheme="minorHAnsi" w:hAnsiTheme="minorHAnsi" w:cstheme="minorHAnsi"/>
            <w:color w:val="0066CC"/>
            <w:sz w:val="22"/>
            <w:szCs w:val="22"/>
            <w:u w:val="single"/>
          </w:rPr>
          <w:t xml:space="preserve"> Series</w:t>
        </w:r>
      </w:hyperlink>
      <w:r w:rsidRPr="00A7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5A59892" w14:textId="7CDAEC0E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59EDF2D" w14:textId="6AE4B88E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3891F7D" w14:textId="1E89DAA6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995DCC9" w14:textId="7543D39F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61A7B57" w14:textId="00FA86C3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08543" w14:textId="62D52B7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053B3" w14:textId="6CC7BA5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3896C" w14:textId="4AFBBF89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6EFD9AA" w14:textId="2A7E2201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B52A2" w14:textId="35CDFBA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A3AFCBF" w14:textId="03FEFA24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7CEE6E1" w14:textId="077C4199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4ED47B9" w14:textId="5DE5667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497B58C" w14:textId="0B1C940E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8888B" w14:textId="5F4B23D2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0AA1BA2" w14:textId="78F308B7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EA23FC8" w14:textId="51759354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6A1D5C8" w14:textId="29933273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F03229F" w14:textId="0653F42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5DC9123E" w14:textId="05CDAB38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E2E3CE4" w14:textId="0EE2BD7D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15249" w14:textId="77777777" w:rsidR="00617952" w:rsidRDefault="00617952" w:rsidP="00617952">
      <w:pPr>
        <w:shd w:val="clear" w:color="auto" w:fill="FFFFFF"/>
        <w:spacing w:before="211"/>
      </w:pPr>
      <w:r>
        <w:rPr>
          <w:rFonts w:ascii="Arial" w:hAnsi="Arial" w:cs="Arial"/>
          <w:color w:val="000000"/>
          <w:spacing w:val="-2"/>
          <w:sz w:val="14"/>
          <w:szCs w:val="14"/>
        </w:rPr>
        <w:t>Table 1</w:t>
      </w:r>
    </w:p>
    <w:p w14:paraId="41FE5C2A" w14:textId="77777777" w:rsidR="00617952" w:rsidRDefault="00617952" w:rsidP="00617952">
      <w:pPr>
        <w:shd w:val="clear" w:color="auto" w:fill="FFFFFF"/>
        <w:spacing w:before="5"/>
      </w:pPr>
      <w:r>
        <w:rPr>
          <w:color w:val="000000"/>
          <w:sz w:val="14"/>
          <w:szCs w:val="14"/>
        </w:rPr>
        <w:t>Patient demographics.</w:t>
      </w:r>
    </w:p>
    <w:p w14:paraId="56228017" w14:textId="77777777" w:rsidR="00617952" w:rsidRDefault="00617952" w:rsidP="00617952">
      <w:pPr>
        <w:shd w:val="clear" w:color="auto" w:fill="FFFFFF"/>
        <w:tabs>
          <w:tab w:val="left" w:pos="4982"/>
          <w:tab w:val="left" w:pos="7498"/>
          <w:tab w:val="left" w:pos="9806"/>
        </w:tabs>
        <w:spacing w:before="120"/>
        <w:ind w:left="2573"/>
      </w:pPr>
      <w:r>
        <w:rPr>
          <w:color w:val="000000"/>
          <w:sz w:val="14"/>
          <w:szCs w:val="14"/>
        </w:rPr>
        <w:t>Control (no contrast agent)</w:t>
      </w:r>
      <w:r>
        <w:rPr>
          <w:rFonts w:ascii="Arial" w:cs="Arial"/>
          <w:color w:val="000000"/>
          <w:sz w:val="14"/>
          <w:szCs w:val="14"/>
        </w:rPr>
        <w:tab/>
      </w:r>
      <w:proofErr w:type="spellStart"/>
      <w:r>
        <w:rPr>
          <w:color w:val="000000"/>
          <w:sz w:val="14"/>
          <w:szCs w:val="14"/>
        </w:rPr>
        <w:t>Prohance</w:t>
      </w:r>
      <w:proofErr w:type="spellEnd"/>
      <w:r>
        <w:rPr>
          <w:color w:val="000000"/>
          <w:sz w:val="14"/>
          <w:szCs w:val="14"/>
        </w:rPr>
        <w:t xml:space="preserve"> (non-ionic)</w:t>
      </w:r>
      <w:r>
        <w:rPr>
          <w:rFonts w:ascii="Arial" w:cs="Arial"/>
          <w:color w:val="000000"/>
          <w:sz w:val="14"/>
          <w:szCs w:val="14"/>
        </w:rPr>
        <w:tab/>
      </w:r>
      <w:proofErr w:type="spellStart"/>
      <w:r>
        <w:rPr>
          <w:color w:val="000000"/>
          <w:sz w:val="14"/>
          <w:szCs w:val="14"/>
        </w:rPr>
        <w:t>Dotarem</w:t>
      </w:r>
      <w:proofErr w:type="spellEnd"/>
      <w:r>
        <w:rPr>
          <w:color w:val="000000"/>
          <w:sz w:val="14"/>
          <w:szCs w:val="14"/>
        </w:rPr>
        <w:t xml:space="preserve"> (ionic)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p-Value</w:t>
      </w:r>
    </w:p>
    <w:p w14:paraId="0498C694" w14:textId="77777777" w:rsidR="00617952" w:rsidRDefault="00617952" w:rsidP="00617952">
      <w:pPr>
        <w:shd w:val="clear" w:color="auto" w:fill="FFFFFF"/>
        <w:tabs>
          <w:tab w:val="left" w:pos="2554"/>
          <w:tab w:val="left" w:pos="4949"/>
          <w:tab w:val="left" w:pos="7469"/>
        </w:tabs>
        <w:spacing w:before="96" w:line="168" w:lineRule="exact"/>
        <w:ind w:left="120"/>
      </w:pPr>
      <w:r>
        <w:rPr>
          <w:color w:val="000000"/>
          <w:sz w:val="14"/>
          <w:szCs w:val="14"/>
        </w:rPr>
        <w:t>n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29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98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47</w:t>
      </w:r>
    </w:p>
    <w:p w14:paraId="7406D588" w14:textId="77777777" w:rsidR="00617952" w:rsidRDefault="00617952" w:rsidP="00617952">
      <w:pPr>
        <w:shd w:val="clear" w:color="auto" w:fill="FFFFFF"/>
        <w:tabs>
          <w:tab w:val="left" w:pos="2554"/>
          <w:tab w:val="left" w:pos="4949"/>
          <w:tab w:val="left" w:pos="7469"/>
          <w:tab w:val="left" w:pos="9806"/>
        </w:tabs>
        <w:spacing w:line="168" w:lineRule="exact"/>
        <w:ind w:left="120"/>
      </w:pPr>
      <w:r>
        <w:rPr>
          <w:color w:val="000000"/>
          <w:sz w:val="14"/>
          <w:szCs w:val="14"/>
        </w:rPr>
        <w:t xml:space="preserve">Age (mean, </w:t>
      </w:r>
      <w:proofErr w:type="spellStart"/>
      <w:r>
        <w:rPr>
          <w:color w:val="000000"/>
          <w:sz w:val="14"/>
          <w:szCs w:val="14"/>
        </w:rPr>
        <w:t>yrs</w:t>
      </w:r>
      <w:proofErr w:type="spellEnd"/>
      <w:r>
        <w:rPr>
          <w:color w:val="000000"/>
          <w:sz w:val="14"/>
          <w:szCs w:val="14"/>
        </w:rPr>
        <w:t>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56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53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53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0.494</w:t>
      </w:r>
      <w:r>
        <w:rPr>
          <w:color w:val="007CA8"/>
          <w:sz w:val="14"/>
          <w:szCs w:val="14"/>
          <w:vertAlign w:val="superscript"/>
        </w:rPr>
        <w:t>a</w:t>
      </w:r>
    </w:p>
    <w:p w14:paraId="453AC455" w14:textId="77777777" w:rsidR="00617952" w:rsidRDefault="00617952" w:rsidP="00617952">
      <w:pPr>
        <w:shd w:val="clear" w:color="auto" w:fill="FFFFFF"/>
        <w:tabs>
          <w:tab w:val="left" w:pos="2554"/>
          <w:tab w:val="left" w:pos="4949"/>
          <w:tab w:val="left" w:pos="7469"/>
          <w:tab w:val="left" w:pos="9806"/>
        </w:tabs>
        <w:spacing w:line="168" w:lineRule="exact"/>
        <w:ind w:left="120"/>
      </w:pPr>
      <w:r>
        <w:rPr>
          <w:color w:val="000000"/>
          <w:sz w:val="14"/>
          <w:szCs w:val="14"/>
        </w:rPr>
        <w:t>Males/Females (n</w:t>
      </w:r>
      <w:proofErr w:type="gramStart"/>
      <w:r>
        <w:rPr>
          <w:color w:val="000000"/>
          <w:sz w:val="14"/>
          <w:szCs w:val="14"/>
        </w:rPr>
        <w:t>);%</w:t>
      </w:r>
      <w:proofErr w:type="gramEnd"/>
      <w:r>
        <w:rPr>
          <w:color w:val="000000"/>
          <w:sz w:val="14"/>
          <w:szCs w:val="14"/>
        </w:rPr>
        <w:t>Male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15/14;52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43/52;45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20/27;43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0.734</w:t>
      </w:r>
      <w:hyperlink w:anchor="bookmark1" w:history="1">
        <w:r>
          <w:rPr>
            <w:color w:val="007CA8"/>
            <w:sz w:val="14"/>
            <w:szCs w:val="14"/>
            <w:vertAlign w:val="superscript"/>
          </w:rPr>
          <w:t>b</w:t>
        </w:r>
      </w:hyperlink>
    </w:p>
    <w:p w14:paraId="7A8AC984" w14:textId="77777777" w:rsidR="00617952" w:rsidRDefault="00617952" w:rsidP="00617952">
      <w:pPr>
        <w:shd w:val="clear" w:color="auto" w:fill="FFFFFF"/>
        <w:tabs>
          <w:tab w:val="left" w:pos="2554"/>
          <w:tab w:val="left" w:pos="4949"/>
          <w:tab w:val="left" w:pos="7469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Top three of main body parts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Craniofacial (7), prostate (5),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Shoulder (12), craniofacial (9),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Craniofacial (15), spine (6),</w:t>
      </w:r>
    </w:p>
    <w:p w14:paraId="3961C896" w14:textId="77777777" w:rsidR="00617952" w:rsidRDefault="00617952" w:rsidP="00617952">
      <w:pPr>
        <w:shd w:val="clear" w:color="auto" w:fill="FFFFFF"/>
        <w:tabs>
          <w:tab w:val="left" w:pos="2554"/>
          <w:tab w:val="left" w:pos="4949"/>
          <w:tab w:val="left" w:pos="7469"/>
        </w:tabs>
        <w:spacing w:before="5" w:line="168" w:lineRule="exact"/>
        <w:ind w:left="278"/>
      </w:pPr>
      <w:r>
        <w:rPr>
          <w:color w:val="000000"/>
          <w:sz w:val="14"/>
          <w:szCs w:val="14"/>
        </w:rPr>
        <w:t>investigated (n)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knee (3)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spine (6)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hip (3)</w:t>
      </w:r>
    </w:p>
    <w:p w14:paraId="7758F13D" w14:textId="77777777" w:rsidR="00617952" w:rsidRDefault="00617952" w:rsidP="00617952">
      <w:pPr>
        <w:shd w:val="clear" w:color="auto" w:fill="FFFFFF"/>
        <w:spacing w:before="86" w:after="480" w:line="163" w:lineRule="exact"/>
        <w:ind w:left="110" w:right="8237"/>
      </w:pPr>
      <w:bookmarkStart w:id="14" w:name="bookmark1"/>
      <w:r>
        <w:rPr>
          <w:color w:val="000000"/>
          <w:sz w:val="14"/>
          <w:szCs w:val="14"/>
          <w:vertAlign w:val="superscript"/>
        </w:rPr>
        <w:t>a</w:t>
      </w:r>
      <w:bookmarkEnd w:id="14"/>
      <w:r>
        <w:rPr>
          <w:color w:val="000000"/>
          <w:sz w:val="14"/>
          <w:szCs w:val="14"/>
        </w:rPr>
        <w:t xml:space="preserve"> One-way analysis of variance. </w:t>
      </w:r>
      <w:r>
        <w:rPr>
          <w:color w:val="000000"/>
          <w:sz w:val="14"/>
          <w:szCs w:val="14"/>
          <w:vertAlign w:val="superscript"/>
        </w:rPr>
        <w:t>b</w:t>
      </w:r>
      <w:r>
        <w:rPr>
          <w:color w:val="000000"/>
          <w:sz w:val="14"/>
          <w:szCs w:val="14"/>
        </w:rPr>
        <w:t xml:space="preserve"> Chi-square test.</w:t>
      </w:r>
    </w:p>
    <w:p w14:paraId="2B8C22E7" w14:textId="2A2BADB1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8B334F1" w14:textId="3E02F2FE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30458C4" w14:textId="77777777" w:rsidR="00617952" w:rsidRDefault="00617952" w:rsidP="00617952">
      <w:pPr>
        <w:shd w:val="clear" w:color="auto" w:fill="FFFFFF"/>
      </w:pPr>
      <w:bookmarkStart w:id="15" w:name="bookmark2"/>
      <w:r>
        <w:rPr>
          <w:rFonts w:ascii="Arial" w:hAnsi="Arial" w:cs="Arial"/>
          <w:color w:val="000000"/>
          <w:spacing w:val="-3"/>
          <w:sz w:val="14"/>
          <w:szCs w:val="14"/>
        </w:rPr>
        <w:t>T</w:t>
      </w:r>
      <w:bookmarkEnd w:id="15"/>
      <w:r>
        <w:rPr>
          <w:rFonts w:ascii="Arial" w:hAnsi="Arial" w:cs="Arial"/>
          <w:color w:val="000000"/>
          <w:spacing w:val="-3"/>
          <w:sz w:val="14"/>
          <w:szCs w:val="14"/>
        </w:rPr>
        <w:t>able 2</w:t>
      </w:r>
    </w:p>
    <w:p w14:paraId="28CE0AAF" w14:textId="77777777" w:rsidR="00617952" w:rsidRDefault="00617952" w:rsidP="00617952">
      <w:pPr>
        <w:shd w:val="clear" w:color="auto" w:fill="FFFFFF"/>
        <w:spacing w:before="10"/>
      </w:pPr>
      <w:r>
        <w:rPr>
          <w:color w:val="000000"/>
          <w:sz w:val="14"/>
          <w:szCs w:val="14"/>
        </w:rPr>
        <w:t>Symptoms reported by patients, 30 min post-MRI.</w:t>
      </w:r>
    </w:p>
    <w:p w14:paraId="037C9DE4" w14:textId="77777777" w:rsidR="00617952" w:rsidRDefault="00617952" w:rsidP="00617952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984"/>
        <w:gridCol w:w="1099"/>
        <w:gridCol w:w="946"/>
      </w:tblGrid>
      <w:tr w:rsidR="00617952" w14:paraId="17A7AF85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EC1DDC9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E665D6E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Control (n)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1B3700" w14:textId="77777777" w:rsidR="00617952" w:rsidRDefault="00617952" w:rsidP="0094630E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14"/>
                <w:szCs w:val="14"/>
              </w:rPr>
              <w:t>Prohance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(n)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19E65F" w14:textId="77777777" w:rsidR="00617952" w:rsidRDefault="00617952" w:rsidP="0094630E">
            <w:pPr>
              <w:shd w:val="clear" w:color="auto" w:fill="FFFFFF"/>
              <w:jc w:val="right"/>
            </w:pPr>
            <w:proofErr w:type="spellStart"/>
            <w:r>
              <w:rPr>
                <w:color w:val="000000"/>
                <w:sz w:val="14"/>
                <w:szCs w:val="14"/>
              </w:rPr>
              <w:t>Dotarem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(n)</w:t>
            </w:r>
          </w:p>
        </w:tc>
      </w:tr>
      <w:tr w:rsidR="00617952" w14:paraId="12F22563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052F1A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Total patients (n)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ECAB3F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(29)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726F92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(98)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2F0C27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(47)</w:t>
            </w:r>
          </w:p>
        </w:tc>
      </w:tr>
      <w:tr w:rsidR="00617952" w14:paraId="5C00598E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10C0C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No symptoms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81455" w14:textId="77777777" w:rsidR="00617952" w:rsidRDefault="00617952" w:rsidP="0094630E">
            <w:pPr>
              <w:shd w:val="clear" w:color="auto" w:fill="FFFFFF"/>
              <w:ind w:left="72"/>
            </w:pPr>
            <w:r>
              <w:rPr>
                <w:color w:val="000000"/>
                <w:sz w:val="14"/>
                <w:szCs w:val="14"/>
              </w:rPr>
              <w:t>79% (23)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0D0F9" w14:textId="77777777" w:rsidR="00617952" w:rsidRDefault="00617952" w:rsidP="0094630E">
            <w:pPr>
              <w:shd w:val="clear" w:color="auto" w:fill="FFFFFF"/>
              <w:ind w:left="72"/>
            </w:pPr>
            <w:r>
              <w:rPr>
                <w:color w:val="000000"/>
                <w:sz w:val="14"/>
                <w:szCs w:val="14"/>
              </w:rPr>
              <w:t>70% (69)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DE755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66% (31)</w:t>
            </w:r>
          </w:p>
        </w:tc>
      </w:tr>
      <w:tr w:rsidR="00617952" w14:paraId="2EA9E564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886D7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One symptom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99469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14% (4)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F63BA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18% (18)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1997B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26% (12)</w:t>
            </w:r>
          </w:p>
        </w:tc>
      </w:tr>
      <w:tr w:rsidR="00617952" w14:paraId="1851EEBD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201C6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Two or more symptoms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AD79C" w14:textId="77777777" w:rsidR="00617952" w:rsidRDefault="00617952" w:rsidP="0094630E">
            <w:pPr>
              <w:shd w:val="clear" w:color="auto" w:fill="FFFFFF"/>
              <w:ind w:left="72"/>
            </w:pPr>
            <w:r>
              <w:rPr>
                <w:color w:val="000000"/>
                <w:sz w:val="14"/>
                <w:szCs w:val="14"/>
              </w:rPr>
              <w:t>7% (2)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E2482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12% (11)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B68D7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8% (4)</w:t>
            </w:r>
          </w:p>
        </w:tc>
      </w:tr>
      <w:tr w:rsidR="00617952" w14:paraId="0FD66445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096BD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Total number of symptoms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38E7A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DB28A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(29)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73844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14"/>
                <w:szCs w:val="14"/>
              </w:rPr>
              <w:t>(20)</w:t>
            </w:r>
          </w:p>
        </w:tc>
      </w:tr>
      <w:tr w:rsidR="00617952" w14:paraId="3DDD4689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15D32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Headache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10E7F" w14:textId="77777777" w:rsidR="00617952" w:rsidRDefault="00617952" w:rsidP="0094630E">
            <w:pPr>
              <w:shd w:val="clear" w:color="auto" w:fill="FFFFFF"/>
              <w:ind w:left="62"/>
            </w:pPr>
            <w:r>
              <w:rPr>
                <w:color w:val="000000"/>
                <w:sz w:val="14"/>
                <w:szCs w:val="14"/>
              </w:rPr>
              <w:t>40% (4)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5F4FB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34% (10)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08AB" w14:textId="77777777" w:rsidR="00617952" w:rsidRDefault="00617952" w:rsidP="0094630E">
            <w:pPr>
              <w:shd w:val="clear" w:color="auto" w:fill="FFFFFF"/>
              <w:ind w:left="62"/>
            </w:pPr>
            <w:r>
              <w:rPr>
                <w:color w:val="000000"/>
                <w:sz w:val="14"/>
                <w:szCs w:val="14"/>
              </w:rPr>
              <w:t>40% (8)</w:t>
            </w:r>
          </w:p>
        </w:tc>
      </w:tr>
      <w:tr w:rsidR="00617952" w14:paraId="2E870FE2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7DB5F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Nausea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7B10B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FAB45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14% (4)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A395B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10% (2)</w:t>
            </w:r>
          </w:p>
        </w:tc>
      </w:tr>
      <w:tr w:rsidR="00617952" w14:paraId="2423677D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910F2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Dizziness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BBE19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30% (3)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8A909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21% (6)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9A3F4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25% (5)</w:t>
            </w:r>
          </w:p>
        </w:tc>
      </w:tr>
      <w:tr w:rsidR="00617952" w14:paraId="7BDFEEFB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5E174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Strange taste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70C75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20% (2)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5E54E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21% (6)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AC478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20% (4)</w:t>
            </w:r>
          </w:p>
        </w:tc>
      </w:tr>
      <w:tr w:rsidR="00617952" w14:paraId="596E42FF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006A6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Numbness in legs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BE4B3" w14:textId="77777777" w:rsidR="00617952" w:rsidRDefault="00617952" w:rsidP="0094630E">
            <w:pPr>
              <w:shd w:val="clear" w:color="auto" w:fill="FFFFFF"/>
              <w:ind w:left="77"/>
            </w:pPr>
            <w:r>
              <w:rPr>
                <w:color w:val="000000"/>
                <w:sz w:val="14"/>
                <w:szCs w:val="14"/>
              </w:rPr>
              <w:t>10% (1)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16B10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3% (1)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51BF3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617952" w14:paraId="3BC41362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60D0514" w14:textId="77777777" w:rsidR="00617952" w:rsidRDefault="00617952" w:rsidP="0094630E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‘</w:t>
            </w:r>
            <w:r>
              <w:rPr>
                <w:rFonts w:eastAsia="Times New Roman"/>
                <w:color w:val="000000"/>
                <w:sz w:val="14"/>
                <w:szCs w:val="14"/>
              </w:rPr>
              <w:t>Other’, related to injection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88C54D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60610AF" w14:textId="77777777" w:rsidR="00617952" w:rsidRDefault="00617952" w:rsidP="0094630E">
            <w:pPr>
              <w:shd w:val="clear" w:color="auto" w:fill="FFFFFF"/>
              <w:ind w:left="72"/>
            </w:pPr>
            <w:r>
              <w:rPr>
                <w:color w:val="000000"/>
                <w:sz w:val="14"/>
                <w:szCs w:val="14"/>
              </w:rPr>
              <w:t>7% (2)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BAF133" w14:textId="77777777" w:rsidR="00617952" w:rsidRDefault="00617952" w:rsidP="0094630E">
            <w:pPr>
              <w:shd w:val="clear" w:color="auto" w:fill="FFFFFF"/>
              <w:ind w:left="67"/>
            </w:pPr>
            <w:r>
              <w:rPr>
                <w:color w:val="000000"/>
                <w:sz w:val="14"/>
                <w:szCs w:val="14"/>
              </w:rPr>
              <w:t>5% (1)</w:t>
            </w:r>
          </w:p>
        </w:tc>
      </w:tr>
    </w:tbl>
    <w:p w14:paraId="1230D444" w14:textId="6C2878FB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7B621FA" w14:textId="51426A22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BEE6CEB" w14:textId="04D57A05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CB6D508" w14:textId="5D1744C2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0B5B0CC" w14:textId="354C78A6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C7415" w14:textId="77777777" w:rsidR="00617952" w:rsidRDefault="00617952" w:rsidP="00617952">
      <w:pPr>
        <w:shd w:val="clear" w:color="auto" w:fill="FFFFFF"/>
        <w:spacing w:before="5"/>
      </w:pPr>
      <w:bookmarkStart w:id="16" w:name="bookmark3"/>
      <w:r>
        <w:rPr>
          <w:rFonts w:ascii="Arial" w:hAnsi="Arial" w:cs="Arial"/>
          <w:color w:val="000000"/>
          <w:sz w:val="12"/>
          <w:szCs w:val="12"/>
        </w:rPr>
        <w:t>T</w:t>
      </w:r>
      <w:bookmarkEnd w:id="16"/>
      <w:r>
        <w:rPr>
          <w:rFonts w:ascii="Arial" w:hAnsi="Arial" w:cs="Arial"/>
          <w:color w:val="000000"/>
          <w:sz w:val="12"/>
          <w:szCs w:val="12"/>
        </w:rPr>
        <w:t>able 3</w:t>
      </w:r>
    </w:p>
    <w:p w14:paraId="126E14A3" w14:textId="77777777" w:rsidR="00617952" w:rsidRDefault="00617952" w:rsidP="00617952">
      <w:pPr>
        <w:shd w:val="clear" w:color="auto" w:fill="FFFFFF"/>
        <w:spacing w:before="10"/>
      </w:pPr>
      <w:r>
        <w:rPr>
          <w:color w:val="000000"/>
          <w:sz w:val="14"/>
          <w:szCs w:val="14"/>
        </w:rPr>
        <w:t>Symptoms reported by patients, 24 h minutes post-MRI.</w:t>
      </w:r>
    </w:p>
    <w:p w14:paraId="241A5DE0" w14:textId="77777777" w:rsidR="00617952" w:rsidRDefault="00617952" w:rsidP="00617952">
      <w:pPr>
        <w:framePr w:h="163" w:hRule="exact" w:hSpace="38" w:wrap="auto" w:vAnchor="text" w:hAnchor="text" w:x="121" w:y="-3"/>
        <w:shd w:val="clear" w:color="auto" w:fill="FFFFFF"/>
      </w:pPr>
      <w:r>
        <w:rPr>
          <w:color w:val="000000"/>
          <w:sz w:val="14"/>
          <w:szCs w:val="14"/>
        </w:rPr>
        <w:t>Symptom</w:t>
      </w:r>
    </w:p>
    <w:p w14:paraId="229017BE" w14:textId="77777777" w:rsidR="00617952" w:rsidRDefault="00617952" w:rsidP="00617952">
      <w:pPr>
        <w:shd w:val="clear" w:color="auto" w:fill="FFFFFF"/>
        <w:ind w:left="2074"/>
      </w:pPr>
      <w:r>
        <w:rPr>
          <w:color w:val="000000"/>
          <w:sz w:val="14"/>
          <w:szCs w:val="14"/>
        </w:rPr>
        <w:t>Control (</w:t>
      </w:r>
      <w:proofErr w:type="gramStart"/>
      <w:r>
        <w:rPr>
          <w:color w:val="000000"/>
          <w:sz w:val="14"/>
          <w:szCs w:val="14"/>
        </w:rPr>
        <w:t xml:space="preserve">n)   </w:t>
      </w:r>
      <w:proofErr w:type="gramEnd"/>
      <w:r>
        <w:rPr>
          <w:color w:val="000000"/>
          <w:sz w:val="14"/>
          <w:szCs w:val="14"/>
        </w:rPr>
        <w:t xml:space="preserve">     </w:t>
      </w:r>
      <w:proofErr w:type="spellStart"/>
      <w:r>
        <w:rPr>
          <w:color w:val="000000"/>
          <w:sz w:val="14"/>
          <w:szCs w:val="14"/>
        </w:rPr>
        <w:t>Prohance</w:t>
      </w:r>
      <w:proofErr w:type="spellEnd"/>
      <w:r>
        <w:rPr>
          <w:color w:val="000000"/>
          <w:sz w:val="14"/>
          <w:szCs w:val="14"/>
        </w:rPr>
        <w:t xml:space="preserve"> (n)        </w:t>
      </w:r>
      <w:proofErr w:type="spellStart"/>
      <w:r>
        <w:rPr>
          <w:color w:val="000000"/>
          <w:sz w:val="14"/>
          <w:szCs w:val="14"/>
        </w:rPr>
        <w:t>Dotarem</w:t>
      </w:r>
      <w:proofErr w:type="spellEnd"/>
      <w:r>
        <w:rPr>
          <w:color w:val="000000"/>
          <w:sz w:val="14"/>
          <w:szCs w:val="14"/>
        </w:rPr>
        <w:t xml:space="preserve"> (n)</w:t>
      </w:r>
    </w:p>
    <w:p w14:paraId="0CEBA4CD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96" w:line="168" w:lineRule="exact"/>
        <w:ind w:left="120"/>
      </w:pPr>
      <w:r>
        <w:rPr>
          <w:color w:val="000000"/>
          <w:sz w:val="14"/>
          <w:szCs w:val="14"/>
        </w:rPr>
        <w:t>Total patients (n)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(29)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(99)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(46)</w:t>
      </w:r>
    </w:p>
    <w:p w14:paraId="471DF89B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No symptoms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90% (26)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76% (75)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78% (36)</w:t>
      </w:r>
    </w:p>
    <w:p w14:paraId="63D72B9F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One symptom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10% (3)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16% (16)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18% (8)</w:t>
      </w:r>
    </w:p>
    <w:p w14:paraId="50B16062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line="168" w:lineRule="exact"/>
        <w:ind w:left="120"/>
      </w:pPr>
      <w:proofErr w:type="spellStart"/>
      <w:r>
        <w:rPr>
          <w:color w:val="000000"/>
          <w:sz w:val="14"/>
          <w:szCs w:val="14"/>
        </w:rPr>
        <w:t>Twoormore</w:t>
      </w:r>
      <w:proofErr w:type="spellEnd"/>
      <w:r>
        <w:rPr>
          <w:color w:val="000000"/>
          <w:sz w:val="14"/>
          <w:szCs w:val="14"/>
        </w:rPr>
        <w:t xml:space="preserve"> symptoms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  <w:proofErr w:type="gramStart"/>
      <w:r>
        <w:rPr>
          <w:color w:val="000000"/>
          <w:sz w:val="14"/>
          <w:szCs w:val="14"/>
        </w:rPr>
        <w:t>%(</w:t>
      </w:r>
      <w:proofErr w:type="gramEnd"/>
      <w:r>
        <w:rPr>
          <w:color w:val="000000"/>
          <w:sz w:val="14"/>
          <w:szCs w:val="14"/>
        </w:rPr>
        <w:t>0)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8%(8)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4%(2)</w:t>
      </w:r>
    </w:p>
    <w:p w14:paraId="3FCB5F7A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106" w:line="168" w:lineRule="exact"/>
        <w:ind w:left="120"/>
      </w:pPr>
      <w:r>
        <w:rPr>
          <w:color w:val="000000"/>
          <w:sz w:val="14"/>
          <w:szCs w:val="14"/>
        </w:rPr>
        <w:t xml:space="preserve">Total </w:t>
      </w:r>
      <w:proofErr w:type="spellStart"/>
      <w:r>
        <w:rPr>
          <w:color w:val="000000"/>
          <w:sz w:val="14"/>
          <w:szCs w:val="14"/>
        </w:rPr>
        <w:t>numberofsymptoms</w:t>
      </w:r>
      <w:proofErr w:type="spellEnd"/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(35)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(13)</w:t>
      </w:r>
    </w:p>
    <w:p w14:paraId="781A96EB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line="168" w:lineRule="exact"/>
        <w:ind w:left="120"/>
      </w:pPr>
      <w:r>
        <w:rPr>
          <w:color w:val="000000"/>
          <w:sz w:val="14"/>
          <w:szCs w:val="14"/>
        </w:rPr>
        <w:t>Headache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100% (3)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37% (13)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46% (6)</w:t>
      </w:r>
    </w:p>
    <w:p w14:paraId="2F1CC024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Nausea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17% (6)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31% (4)</w:t>
      </w:r>
    </w:p>
    <w:p w14:paraId="7D03E7D6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Dizziness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14% (5)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</w:p>
    <w:p w14:paraId="19E1F6E1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color w:val="000000"/>
          <w:sz w:val="14"/>
          <w:szCs w:val="14"/>
        </w:rPr>
        <w:t>Strange taste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pacing w:val="-2"/>
          <w:sz w:val="14"/>
          <w:szCs w:val="14"/>
        </w:rPr>
        <w:t>11% (4)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8</w:t>
      </w:r>
      <w:proofErr w:type="gramStart"/>
      <w:r>
        <w:rPr>
          <w:color w:val="000000"/>
          <w:sz w:val="14"/>
          <w:szCs w:val="14"/>
        </w:rPr>
        <w:t>%(</w:t>
      </w:r>
      <w:proofErr w:type="gramEnd"/>
      <w:r>
        <w:rPr>
          <w:color w:val="000000"/>
          <w:sz w:val="14"/>
          <w:szCs w:val="14"/>
        </w:rPr>
        <w:t>1)</w:t>
      </w:r>
    </w:p>
    <w:p w14:paraId="0CC8CC37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line="168" w:lineRule="exact"/>
        <w:ind w:left="120"/>
      </w:pPr>
      <w:proofErr w:type="spellStart"/>
      <w:r>
        <w:rPr>
          <w:color w:val="000000"/>
          <w:sz w:val="14"/>
          <w:szCs w:val="14"/>
        </w:rPr>
        <w:t>Numbnessinlegs</w:t>
      </w:r>
      <w:proofErr w:type="spellEnd"/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0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9</w:t>
      </w:r>
      <w:proofErr w:type="gramStart"/>
      <w:r>
        <w:rPr>
          <w:color w:val="000000"/>
          <w:sz w:val="14"/>
          <w:szCs w:val="14"/>
        </w:rPr>
        <w:t>%(</w:t>
      </w:r>
      <w:proofErr w:type="gramEnd"/>
      <w:r>
        <w:rPr>
          <w:color w:val="000000"/>
          <w:sz w:val="14"/>
          <w:szCs w:val="14"/>
        </w:rPr>
        <w:t>3)</w:t>
      </w:r>
      <w:r>
        <w:rPr>
          <w:rFonts w:ascii="Arial" w:cs="Arial"/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>8%(1)</w:t>
      </w:r>
    </w:p>
    <w:p w14:paraId="0E4F0F7C" w14:textId="77777777" w:rsidR="00617952" w:rsidRDefault="00617952" w:rsidP="00617952">
      <w:pPr>
        <w:shd w:val="clear" w:color="auto" w:fill="FFFFFF"/>
        <w:tabs>
          <w:tab w:val="left" w:pos="2040"/>
          <w:tab w:val="left" w:pos="3034"/>
          <w:tab w:val="left" w:pos="4138"/>
        </w:tabs>
        <w:spacing w:before="5" w:line="168" w:lineRule="exact"/>
        <w:ind w:left="120"/>
      </w:pPr>
      <w:r>
        <w:rPr>
          <w:rFonts w:ascii="Arial" w:eastAsia="Times New Roman" w:hAnsi="Arial"/>
          <w:color w:val="000000"/>
          <w:w w:val="235"/>
          <w:sz w:val="12"/>
          <w:szCs w:val="12"/>
        </w:rPr>
        <w:t>‘</w:t>
      </w:r>
      <w:r>
        <w:rPr>
          <w:rFonts w:eastAsia="Times New Roman"/>
          <w:color w:val="000000"/>
          <w:sz w:val="14"/>
          <w:szCs w:val="14"/>
        </w:rPr>
        <w:t>Other’,</w:t>
      </w:r>
      <w:r>
        <w:rPr>
          <w:rFonts w:eastAsia="Times New Roman"/>
          <w:color w:val="000000"/>
          <w:sz w:val="12"/>
          <w:szCs w:val="12"/>
        </w:rPr>
        <w:t xml:space="preserve"> </w:t>
      </w:r>
      <w:proofErr w:type="spellStart"/>
      <w:r>
        <w:rPr>
          <w:rFonts w:eastAsia="Times New Roman"/>
          <w:color w:val="000000"/>
          <w:sz w:val="14"/>
          <w:szCs w:val="14"/>
        </w:rPr>
        <w:t>relatedtoinjection</w:t>
      </w:r>
      <w:proofErr w:type="spellEnd"/>
      <w:r>
        <w:rPr>
          <w:rFonts w:ascii="Arial" w:eastAsia="Times New Roman" w:cs="Arial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4"/>
          <w:szCs w:val="14"/>
        </w:rPr>
        <w:t>0</w:t>
      </w:r>
      <w:r>
        <w:rPr>
          <w:rFonts w:ascii="Arial" w:eastAsia="Times New Roman" w:cs="Arial"/>
          <w:color w:val="000000"/>
          <w:sz w:val="12"/>
          <w:szCs w:val="12"/>
        </w:rPr>
        <w:tab/>
      </w:r>
      <w:r>
        <w:rPr>
          <w:rFonts w:eastAsia="Times New Roman"/>
          <w:color w:val="000000"/>
          <w:spacing w:val="-2"/>
          <w:sz w:val="14"/>
          <w:szCs w:val="14"/>
        </w:rPr>
        <w:t>11%</w:t>
      </w:r>
      <w:r>
        <w:rPr>
          <w:rFonts w:eastAsia="Times New Roman"/>
          <w:color w:val="000000"/>
          <w:spacing w:val="-2"/>
          <w:sz w:val="12"/>
          <w:szCs w:val="12"/>
        </w:rPr>
        <w:t xml:space="preserve"> </w:t>
      </w:r>
      <w:r>
        <w:rPr>
          <w:rFonts w:eastAsia="Times New Roman"/>
          <w:color w:val="000000"/>
          <w:spacing w:val="-2"/>
          <w:sz w:val="14"/>
          <w:szCs w:val="14"/>
        </w:rPr>
        <w:t>(4)</w:t>
      </w:r>
      <w:r>
        <w:rPr>
          <w:rFonts w:ascii="Arial" w:eastAsia="Times New Roman" w:cs="Arial"/>
          <w:color w:val="000000"/>
          <w:sz w:val="12"/>
          <w:szCs w:val="12"/>
        </w:rPr>
        <w:tab/>
      </w:r>
      <w:r>
        <w:rPr>
          <w:rFonts w:eastAsia="Times New Roman"/>
          <w:color w:val="000000"/>
          <w:sz w:val="14"/>
          <w:szCs w:val="14"/>
        </w:rPr>
        <w:t>8</w:t>
      </w:r>
      <w:proofErr w:type="gramStart"/>
      <w:r>
        <w:rPr>
          <w:rFonts w:eastAsia="Times New Roman"/>
          <w:color w:val="000000"/>
          <w:sz w:val="14"/>
          <w:szCs w:val="14"/>
        </w:rPr>
        <w:t>%(</w:t>
      </w:r>
      <w:proofErr w:type="gramEnd"/>
      <w:r>
        <w:rPr>
          <w:rFonts w:eastAsia="Times New Roman"/>
          <w:color w:val="000000"/>
          <w:sz w:val="14"/>
          <w:szCs w:val="14"/>
        </w:rPr>
        <w:t>1)</w:t>
      </w:r>
    </w:p>
    <w:p w14:paraId="51BD396B" w14:textId="0A11AFB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38DA9C8" w14:textId="4CB75C5C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15F152E" w14:textId="27BC64CC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173ACD9" w14:textId="4DBA9FED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2E8BE" w14:textId="77777777" w:rsidR="00617952" w:rsidRDefault="00617952" w:rsidP="00617952">
      <w:pPr>
        <w:shd w:val="clear" w:color="auto" w:fill="FFFFFF"/>
        <w:spacing w:before="480" w:line="168" w:lineRule="exact"/>
        <w:ind w:left="29"/>
      </w:pPr>
      <w:bookmarkStart w:id="17" w:name="bookmark5"/>
      <w:r>
        <w:rPr>
          <w:rFonts w:ascii="Arial" w:hAnsi="Arial" w:cs="Arial"/>
          <w:color w:val="000000"/>
          <w:sz w:val="12"/>
          <w:szCs w:val="12"/>
        </w:rPr>
        <w:t>T</w:t>
      </w:r>
      <w:bookmarkEnd w:id="17"/>
      <w:r>
        <w:rPr>
          <w:rFonts w:ascii="Arial" w:hAnsi="Arial" w:cs="Arial"/>
          <w:color w:val="000000"/>
          <w:sz w:val="12"/>
          <w:szCs w:val="12"/>
        </w:rPr>
        <w:t>able 4</w:t>
      </w:r>
    </w:p>
    <w:p w14:paraId="1C57A5BB" w14:textId="77777777" w:rsidR="00617952" w:rsidRDefault="00617952" w:rsidP="00617952">
      <w:pPr>
        <w:shd w:val="clear" w:color="auto" w:fill="FFFFFF"/>
        <w:spacing w:before="5" w:line="168" w:lineRule="exact"/>
        <w:ind w:left="29"/>
      </w:pPr>
      <w:r>
        <w:rPr>
          <w:color w:val="000000"/>
          <w:sz w:val="14"/>
          <w:szCs w:val="14"/>
        </w:rPr>
        <w:t>Multivariable ordinal regression analysis for the association of factors with adverse</w:t>
      </w:r>
    </w:p>
    <w:p w14:paraId="697DAF34" w14:textId="77777777" w:rsidR="00617952" w:rsidRDefault="00617952" w:rsidP="00617952">
      <w:pPr>
        <w:shd w:val="clear" w:color="auto" w:fill="FFFFFF"/>
        <w:spacing w:line="168" w:lineRule="exact"/>
        <w:ind w:left="29"/>
      </w:pPr>
      <w:r>
        <w:rPr>
          <w:color w:val="000000"/>
          <w:sz w:val="14"/>
          <w:szCs w:val="14"/>
        </w:rPr>
        <w:t>effects 30 min after MRI.</w:t>
      </w:r>
    </w:p>
    <w:p w14:paraId="15B7478B" w14:textId="77777777" w:rsidR="00617952" w:rsidRDefault="00617952" w:rsidP="00617952">
      <w:pPr>
        <w:framePr w:h="164" w:hRule="exact" w:hSpace="38" w:wrap="auto" w:vAnchor="text" w:hAnchor="text" w:x="150" w:y="116"/>
        <w:shd w:val="clear" w:color="auto" w:fill="FFFFFF"/>
      </w:pPr>
      <w:r>
        <w:rPr>
          <w:color w:val="000000"/>
          <w:sz w:val="14"/>
          <w:szCs w:val="14"/>
        </w:rPr>
        <w:t>Variable</w:t>
      </w:r>
    </w:p>
    <w:p w14:paraId="33405752" w14:textId="77777777" w:rsidR="00617952" w:rsidRDefault="00617952" w:rsidP="00617952">
      <w:pPr>
        <w:framePr w:h="164" w:hRule="exact" w:hSpace="38" w:wrap="auto" w:vAnchor="text" w:hAnchor="text" w:x="995" w:y="116"/>
        <w:shd w:val="clear" w:color="auto" w:fill="FFFFFF"/>
      </w:pPr>
      <w:r>
        <w:rPr>
          <w:color w:val="000000"/>
          <w:sz w:val="14"/>
          <w:szCs w:val="14"/>
        </w:rPr>
        <w:t>Category</w:t>
      </w:r>
    </w:p>
    <w:p w14:paraId="4662A4A1" w14:textId="77777777" w:rsidR="00617952" w:rsidRDefault="00617952" w:rsidP="00617952">
      <w:pPr>
        <w:framePr w:h="164" w:hRule="exact" w:hSpace="38" w:wrap="auto" w:vAnchor="text" w:hAnchor="text" w:x="1902" w:y="116"/>
        <w:shd w:val="clear" w:color="auto" w:fill="FFFFFF"/>
      </w:pPr>
      <w:r>
        <w:rPr>
          <w:color w:val="000000"/>
          <w:sz w:val="14"/>
          <w:szCs w:val="14"/>
        </w:rPr>
        <w:t>N%</w:t>
      </w:r>
    </w:p>
    <w:p w14:paraId="51528509" w14:textId="77777777" w:rsidR="00617952" w:rsidRDefault="00617952" w:rsidP="00617952">
      <w:pPr>
        <w:shd w:val="clear" w:color="auto" w:fill="FFFFFF"/>
        <w:spacing w:before="120"/>
        <w:ind w:left="2870"/>
      </w:pPr>
      <w:r>
        <w:rPr>
          <w:color w:val="000000"/>
          <w:sz w:val="14"/>
          <w:szCs w:val="14"/>
        </w:rPr>
        <w:t>p-Value   Odds ratio   95% CI</w:t>
      </w:r>
    </w:p>
    <w:p w14:paraId="65C68E39" w14:textId="77777777" w:rsidR="00617952" w:rsidRDefault="00617952" w:rsidP="00617952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936"/>
        <w:gridCol w:w="355"/>
        <w:gridCol w:w="528"/>
        <w:gridCol w:w="528"/>
        <w:gridCol w:w="605"/>
        <w:gridCol w:w="1118"/>
      </w:tblGrid>
      <w:tr w:rsidR="00617952" w14:paraId="1A14A8BE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4B0663" w14:textId="77777777" w:rsidR="00617952" w:rsidRDefault="00617952" w:rsidP="0094630E">
            <w:pPr>
              <w:shd w:val="clear" w:color="auto" w:fill="FFFFFF"/>
              <w:ind w:left="34"/>
            </w:pPr>
            <w:r>
              <w:rPr>
                <w:color w:val="000000"/>
                <w:sz w:val="14"/>
                <w:szCs w:val="14"/>
              </w:rPr>
              <w:t>Patients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40CA1A" w14:textId="77777777" w:rsidR="00617952" w:rsidRDefault="00617952" w:rsidP="0094630E">
            <w:pPr>
              <w:shd w:val="clear" w:color="auto" w:fill="FFFFFF"/>
              <w:spacing w:line="173" w:lineRule="exact"/>
            </w:pPr>
            <w:r>
              <w:rPr>
                <w:color w:val="000000"/>
                <w:sz w:val="14"/>
                <w:szCs w:val="14"/>
              </w:rPr>
              <w:t>Total sample size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A95FB85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DF005F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1E1B4B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0A03D5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41D853" w14:textId="77777777" w:rsidR="00617952" w:rsidRDefault="00617952" w:rsidP="0094630E">
            <w:pPr>
              <w:shd w:val="clear" w:color="auto" w:fill="FFFFFF"/>
            </w:pPr>
          </w:p>
        </w:tc>
      </w:tr>
      <w:tr w:rsidR="00617952" w14:paraId="79CA934C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A4A88" w14:textId="77777777" w:rsidR="00617952" w:rsidRDefault="00617952" w:rsidP="0094630E">
            <w:pPr>
              <w:shd w:val="clear" w:color="auto" w:fill="FFFFFF"/>
              <w:ind w:left="34"/>
            </w:pPr>
            <w:r>
              <w:rPr>
                <w:color w:val="000000"/>
                <w:sz w:val="14"/>
                <w:szCs w:val="14"/>
              </w:rPr>
              <w:t>Group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9FE27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Control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7E13C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85DB7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4"/>
                <w:szCs w:val="14"/>
              </w:rPr>
              <w:t>17.1%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001AF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0.33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D6600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0.56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ED628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0.18 to 1.77</w:t>
            </w:r>
          </w:p>
        </w:tc>
      </w:tr>
      <w:tr w:rsidR="00617952" w14:paraId="19F4B386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1B17C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2CB05" w14:textId="77777777" w:rsidR="00617952" w:rsidRDefault="00617952" w:rsidP="0094630E">
            <w:pPr>
              <w:shd w:val="clear" w:color="auto" w:fill="FFFFFF"/>
            </w:pPr>
            <w:proofErr w:type="spellStart"/>
            <w:r>
              <w:rPr>
                <w:color w:val="000000"/>
                <w:sz w:val="14"/>
                <w:szCs w:val="14"/>
              </w:rPr>
              <w:t>Prohance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36B16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016E3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55.3%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AF1E3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0.54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E48C3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0.77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A3CA1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0.34 to 1.77</w:t>
            </w:r>
          </w:p>
        </w:tc>
      </w:tr>
      <w:tr w:rsidR="00617952" w14:paraId="0B11E75F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7D6A6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27645" w14:textId="77777777" w:rsidR="00617952" w:rsidRDefault="00617952" w:rsidP="0094630E">
            <w:pPr>
              <w:shd w:val="clear" w:color="auto" w:fill="FFFFFF"/>
            </w:pPr>
            <w:proofErr w:type="spellStart"/>
            <w:r>
              <w:rPr>
                <w:color w:val="000000"/>
                <w:sz w:val="14"/>
                <w:szCs w:val="14"/>
              </w:rPr>
              <w:t>Dotarem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01859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2DBBC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27.6%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48720" w14:textId="77777777" w:rsidR="00617952" w:rsidRDefault="00617952" w:rsidP="0094630E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0A992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622CE" w14:textId="77777777" w:rsidR="00617952" w:rsidRDefault="00617952" w:rsidP="0094630E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</w:tr>
      <w:tr w:rsidR="00617952" w14:paraId="1390A415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5D345" w14:textId="77777777" w:rsidR="00617952" w:rsidRDefault="00617952" w:rsidP="0094630E">
            <w:pPr>
              <w:shd w:val="clear" w:color="auto" w:fill="FFFFFF"/>
              <w:ind w:left="34"/>
            </w:pPr>
            <w:r>
              <w:rPr>
                <w:color w:val="000000"/>
                <w:sz w:val="14"/>
                <w:szCs w:val="14"/>
              </w:rPr>
              <w:t>Fluid 24 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6DAE7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 xml:space="preserve">Up to 1 </w:t>
            </w:r>
            <w:proofErr w:type="spellStart"/>
            <w:r>
              <w:rPr>
                <w:color w:val="000000"/>
                <w:sz w:val="14"/>
                <w:szCs w:val="14"/>
              </w:rPr>
              <w:t>ltr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8ABC8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2E5A8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20.6%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13B3F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A91DE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0.82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AAB0B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0.31 to 2.20</w:t>
            </w:r>
          </w:p>
        </w:tc>
      </w:tr>
      <w:tr w:rsidR="00617952" w14:paraId="0DD00EDD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805D" w14:textId="77777777" w:rsidR="00617952" w:rsidRDefault="00617952" w:rsidP="0094630E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</w:rPr>
              <w:t>before MRI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0353E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 xml:space="preserve">1 to 1.5 </w:t>
            </w:r>
            <w:proofErr w:type="spellStart"/>
            <w:r>
              <w:rPr>
                <w:color w:val="000000"/>
                <w:sz w:val="14"/>
                <w:szCs w:val="14"/>
              </w:rPr>
              <w:t>ltr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773F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8F93C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4"/>
                <w:szCs w:val="14"/>
              </w:rPr>
              <w:t>40.6%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E7493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0.44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AF5F5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0.73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A8794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0.32 to 1.64</w:t>
            </w:r>
          </w:p>
        </w:tc>
      </w:tr>
      <w:tr w:rsidR="00617952" w14:paraId="09800E57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6DC73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3E90B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More than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0067E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5E2C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38.8%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A697A" w14:textId="77777777" w:rsidR="00617952" w:rsidRDefault="00617952" w:rsidP="0094630E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3E2A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6D117" w14:textId="77777777" w:rsidR="00617952" w:rsidRDefault="00617952" w:rsidP="0094630E">
            <w:pPr>
              <w:shd w:val="clear" w:color="auto" w:fill="FFFFFF"/>
            </w:pPr>
          </w:p>
        </w:tc>
      </w:tr>
      <w:tr w:rsidR="00617952" w14:paraId="18C17884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2CED0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4C5AC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 xml:space="preserve">1.5 </w:t>
            </w:r>
            <w:proofErr w:type="spellStart"/>
            <w:r>
              <w:rPr>
                <w:color w:val="000000"/>
                <w:sz w:val="14"/>
                <w:szCs w:val="14"/>
              </w:rPr>
              <w:t>ltr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3598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4E775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021D0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DE5C7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4EC7F" w14:textId="77777777" w:rsidR="00617952" w:rsidRDefault="00617952" w:rsidP="0094630E">
            <w:pPr>
              <w:shd w:val="clear" w:color="auto" w:fill="FFFFFF"/>
            </w:pPr>
          </w:p>
        </w:tc>
      </w:tr>
      <w:tr w:rsidR="00617952" w14:paraId="5622EF63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91228" w14:textId="77777777" w:rsidR="00617952" w:rsidRDefault="00617952" w:rsidP="0094630E">
            <w:pPr>
              <w:shd w:val="clear" w:color="auto" w:fill="FFFFFF"/>
              <w:ind w:left="34"/>
            </w:pPr>
            <w:r>
              <w:rPr>
                <w:color w:val="000000"/>
                <w:sz w:val="14"/>
                <w:szCs w:val="14"/>
              </w:rPr>
              <w:t>Age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A56D6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 xml:space="preserve">Under 30 </w:t>
            </w:r>
            <w:proofErr w:type="spellStart"/>
            <w:r>
              <w:rPr>
                <w:color w:val="000000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1FC1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1394C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4"/>
                <w:szCs w:val="14"/>
              </w:rPr>
              <w:t>18.2%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0203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0.97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14895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0.97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A4B2E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0.25 to 3.70</w:t>
            </w:r>
          </w:p>
        </w:tc>
      </w:tr>
      <w:tr w:rsidR="00617952" w14:paraId="1ADE669E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69457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58C3F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30</w:t>
            </w:r>
            <w:r>
              <w:rPr>
                <w:rFonts w:ascii="Arial" w:cs="Arial"/>
                <w:color w:val="000000"/>
                <w:sz w:val="14"/>
                <w:szCs w:val="14"/>
              </w:rPr>
              <w:t>e</w:t>
            </w: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22109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A0912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4"/>
                <w:szCs w:val="14"/>
              </w:rPr>
              <w:t>18.2%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AD739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0.60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F94D4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1.42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D4AE1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0.38 to 5.30</w:t>
            </w:r>
          </w:p>
        </w:tc>
      </w:tr>
      <w:tr w:rsidR="00617952" w14:paraId="2923097B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37CCF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800FE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40</w:t>
            </w:r>
            <w:r>
              <w:rPr>
                <w:rFonts w:ascii="Arial" w:cs="Arial"/>
                <w:color w:val="000000"/>
                <w:sz w:val="14"/>
                <w:szCs w:val="14"/>
              </w:rPr>
              <w:t>e</w:t>
            </w: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AEA6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FABB1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21.8%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A6E35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2B6FA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1.29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278D9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0.35 to 4.65</w:t>
            </w:r>
          </w:p>
        </w:tc>
      </w:tr>
      <w:tr w:rsidR="00617952" w14:paraId="6616D758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F75D8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8C837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50</w:t>
            </w:r>
            <w:r>
              <w:rPr>
                <w:rFonts w:ascii="Arial" w:cs="Arial"/>
                <w:color w:val="000000"/>
                <w:sz w:val="14"/>
                <w:szCs w:val="14"/>
              </w:rPr>
              <w:t>e</w:t>
            </w: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5E3A2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AAF39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28.2%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0CA70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0.84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31562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0.87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8439D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0.24 to 3.14</w:t>
            </w:r>
          </w:p>
        </w:tc>
      </w:tr>
      <w:tr w:rsidR="00617952" w14:paraId="52C26B63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27BC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105D4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60 plus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96824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CE38D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4"/>
                <w:szCs w:val="14"/>
              </w:rPr>
              <w:t>13.5%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27416" w14:textId="77777777" w:rsidR="00617952" w:rsidRDefault="00617952" w:rsidP="0094630E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C3DFF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3167C" w14:textId="77777777" w:rsidR="00617952" w:rsidRDefault="00617952" w:rsidP="0094630E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</w:tr>
      <w:tr w:rsidR="00617952" w14:paraId="7A26236E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E94BA" w14:textId="77777777" w:rsidR="00617952" w:rsidRDefault="00617952" w:rsidP="0094630E">
            <w:pPr>
              <w:shd w:val="clear" w:color="auto" w:fill="FFFFFF"/>
              <w:ind w:left="34"/>
            </w:pPr>
            <w:r>
              <w:rPr>
                <w:color w:val="000000"/>
                <w:sz w:val="14"/>
                <w:szCs w:val="14"/>
              </w:rPr>
              <w:t>Gender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C5C4A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Male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D6FF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DB5A5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4"/>
                <w:szCs w:val="14"/>
              </w:rPr>
              <w:t>45.3%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E3D1A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&lt;0.001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AF733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0.24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A1076" w14:textId="77777777" w:rsidR="00617952" w:rsidRDefault="00617952" w:rsidP="0094630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z w:val="14"/>
                <w:szCs w:val="14"/>
              </w:rPr>
              <w:t>0.11 to 0.53</w:t>
            </w:r>
          </w:p>
        </w:tc>
      </w:tr>
      <w:tr w:rsidR="00617952" w14:paraId="387C63F1" w14:textId="77777777" w:rsidTr="0094630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2A2561" w14:textId="77777777" w:rsidR="00617952" w:rsidRDefault="00617952" w:rsidP="0094630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E8C756" w14:textId="77777777" w:rsidR="00617952" w:rsidRDefault="00617952" w:rsidP="0094630E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342AED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C5F832B" w14:textId="77777777" w:rsidR="00617952" w:rsidRDefault="00617952" w:rsidP="0094630E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4"/>
                <w:szCs w:val="14"/>
              </w:rPr>
              <w:t>54.7%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37BD85" w14:textId="77777777" w:rsidR="00617952" w:rsidRDefault="00617952" w:rsidP="0094630E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6E7A4C" w14:textId="77777777" w:rsidR="00617952" w:rsidRDefault="00617952" w:rsidP="0094630E">
            <w:pPr>
              <w:shd w:val="clear" w:color="auto" w:fill="FFFFFF"/>
              <w:ind w:left="5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568D6C" w14:textId="77777777" w:rsidR="00617952" w:rsidRDefault="00617952" w:rsidP="0094630E">
            <w:pPr>
              <w:shd w:val="clear" w:color="auto" w:fill="FFFFFF"/>
              <w:ind w:left="1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</w:tr>
    </w:tbl>
    <w:p w14:paraId="1712EA1F" w14:textId="77777777" w:rsidR="00617952" w:rsidRDefault="00617952" w:rsidP="00617952">
      <w:pPr>
        <w:shd w:val="clear" w:color="auto" w:fill="FFFFFF"/>
        <w:spacing w:before="38" w:line="168" w:lineRule="exact"/>
        <w:ind w:left="29" w:right="29"/>
        <w:jc w:val="both"/>
      </w:pPr>
      <w:r>
        <w:rPr>
          <w:color w:val="000000"/>
          <w:sz w:val="14"/>
          <w:szCs w:val="14"/>
        </w:rPr>
        <w:t>An odds ratio below 1 is associated with decreased incidence of adverse events, whereas an odds ratio above 1 indicates an association with increased adverse events post-MRI.</w:t>
      </w:r>
    </w:p>
    <w:p w14:paraId="0B962F8D" w14:textId="4BAC6B5F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09FF99F" w14:textId="0438280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963364D" w14:textId="6E2731EA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0B2C748" w14:textId="53BBF4C0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17952">
        <w:drawing>
          <wp:inline distT="0" distB="0" distL="0" distR="0" wp14:anchorId="1742F2ED" wp14:editId="5E667B47">
            <wp:extent cx="5730240" cy="2512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309" w14:textId="5B7E18D7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F8BCF45" w14:textId="019B3168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9C3241F" w14:textId="0E4D7BBA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D9051EE" w14:textId="34A3FC9D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EF51F" w14:textId="48AE50D2" w:rsidR="00617952" w:rsidRDefault="00617952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25F68B8" w14:textId="77777777" w:rsidR="00617952" w:rsidRPr="00A727AE" w:rsidRDefault="00617952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617952" w:rsidRPr="00A727AE">
      <w:type w:val="continuous"/>
      <w:pgSz w:w="11904" w:h="1587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AE"/>
    <w:rsid w:val="005A30D0"/>
    <w:rsid w:val="00617952"/>
    <w:rsid w:val="00A35447"/>
    <w:rsid w:val="00A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F55AC"/>
  <w14:defaultImageDpi w14:val="0"/>
  <w15:docId w15:val="{BB236F29-3C8B-447A-BD27-A480FFB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hub.elsevier.com/S1078-8174(15)00006-1/sref5" TargetMode="External"/><Relationship Id="rId18" Type="http://schemas.openxmlformats.org/officeDocument/2006/relationships/hyperlink" Target="http://refhub.elsevier.com/S1078-8174(15)00006-1/sref7" TargetMode="External"/><Relationship Id="rId26" Type="http://schemas.openxmlformats.org/officeDocument/2006/relationships/hyperlink" Target="http://refhub.elsevier.com/S1078-8174(15)00006-1/sref11" TargetMode="External"/><Relationship Id="rId39" Type="http://schemas.openxmlformats.org/officeDocument/2006/relationships/hyperlink" Target="http://refhub.elsevier.com/S1078-8174(15)00006-1/sref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fhub.elsevier.com/S1078-8174(15)00006-1/sref9" TargetMode="External"/><Relationship Id="rId34" Type="http://schemas.openxmlformats.org/officeDocument/2006/relationships/hyperlink" Target="http://refhub.elsevier.com/S1078-8174(15)00006-1/sref15" TargetMode="External"/><Relationship Id="rId42" Type="http://schemas.openxmlformats.org/officeDocument/2006/relationships/hyperlink" Target="http://refhub.elsevier.com/S1078-8174(15)00006-1/sref19" TargetMode="External"/><Relationship Id="rId47" Type="http://schemas.openxmlformats.org/officeDocument/2006/relationships/hyperlink" Target="http://www.esur.org/guideline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refhub.elsevier.com/S1078-8174(15)00006-1/sref1" TargetMode="External"/><Relationship Id="rId12" Type="http://schemas.openxmlformats.org/officeDocument/2006/relationships/hyperlink" Target="http://refhub.elsevier.com/S1078-8174(15)00006-1/sref4" TargetMode="External"/><Relationship Id="rId17" Type="http://schemas.openxmlformats.org/officeDocument/2006/relationships/hyperlink" Target="http://refhub.elsevier.com/S1078-8174(15)00006-1/sref7" TargetMode="External"/><Relationship Id="rId25" Type="http://schemas.openxmlformats.org/officeDocument/2006/relationships/hyperlink" Target="http://refhub.elsevier.com/S1078-8174(15)00006-1/sref11" TargetMode="External"/><Relationship Id="rId33" Type="http://schemas.openxmlformats.org/officeDocument/2006/relationships/hyperlink" Target="http://refhub.elsevier.com/S1078-8174(15)00006-1/sref15" TargetMode="External"/><Relationship Id="rId38" Type="http://schemas.openxmlformats.org/officeDocument/2006/relationships/hyperlink" Target="http://refhub.elsevier.com/S1078-8174(15)00006-1/sref17" TargetMode="External"/><Relationship Id="rId46" Type="http://schemas.openxmlformats.org/officeDocument/2006/relationships/hyperlink" Target="http://refhub.elsevier.com/S1078-8174(15)00006-1/sref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fhub.elsevier.com/S1078-8174(15)00006-1/sref6" TargetMode="External"/><Relationship Id="rId20" Type="http://schemas.openxmlformats.org/officeDocument/2006/relationships/hyperlink" Target="http://refhub.elsevier.com/S1078-8174(15)00006-1/sref8" TargetMode="External"/><Relationship Id="rId29" Type="http://schemas.openxmlformats.org/officeDocument/2006/relationships/hyperlink" Target="http://refhub.elsevier.com/S1078-8174(15)00006-1/sref13" TargetMode="External"/><Relationship Id="rId41" Type="http://schemas.openxmlformats.org/officeDocument/2006/relationships/hyperlink" Target="http://refhub.elsevier.com/S1078-8174(15)00006-1/sref19" TargetMode="External"/><Relationship Id="rId1" Type="http://schemas.openxmlformats.org/officeDocument/2006/relationships/styles" Target="styles.xml"/><Relationship Id="rId6" Type="http://schemas.openxmlformats.org/officeDocument/2006/relationships/hyperlink" Target="http://refhub.elsevier.com/S1078-8174(15)00006-1/sref1" TargetMode="External"/><Relationship Id="rId11" Type="http://schemas.openxmlformats.org/officeDocument/2006/relationships/hyperlink" Target="http://refhub.elsevier.com/S1078-8174(15)00006-1/sref4" TargetMode="External"/><Relationship Id="rId24" Type="http://schemas.openxmlformats.org/officeDocument/2006/relationships/hyperlink" Target="http://refhub.elsevier.com/S1078-8174(15)00006-1/sref10" TargetMode="External"/><Relationship Id="rId32" Type="http://schemas.openxmlformats.org/officeDocument/2006/relationships/hyperlink" Target="http://refhub.elsevier.com/S1078-8174(15)00006-1/sref15" TargetMode="External"/><Relationship Id="rId37" Type="http://schemas.openxmlformats.org/officeDocument/2006/relationships/hyperlink" Target="http://refhub.elsevier.com/S1078-8174(15)00006-1/sref17" TargetMode="External"/><Relationship Id="rId40" Type="http://schemas.openxmlformats.org/officeDocument/2006/relationships/hyperlink" Target="http://refhub.elsevier.com/S1078-8174(15)00006-1/sref18" TargetMode="External"/><Relationship Id="rId45" Type="http://schemas.openxmlformats.org/officeDocument/2006/relationships/hyperlink" Target="http://refhub.elsevier.com/S1078-8174(15)00006-1/sref21" TargetMode="External"/><Relationship Id="rId5" Type="http://schemas.openxmlformats.org/officeDocument/2006/relationships/hyperlink" Target="mailto:farshid.fallahi@ncuh.nhs.uk" TargetMode="External"/><Relationship Id="rId15" Type="http://schemas.openxmlformats.org/officeDocument/2006/relationships/hyperlink" Target="http://refhub.elsevier.com/S1078-8174(15)00006-1/sref6" TargetMode="External"/><Relationship Id="rId23" Type="http://schemas.openxmlformats.org/officeDocument/2006/relationships/hyperlink" Target="http://refhub.elsevier.com/S1078-8174(15)00006-1/sref10" TargetMode="External"/><Relationship Id="rId28" Type="http://schemas.openxmlformats.org/officeDocument/2006/relationships/hyperlink" Target="http://refhub.elsevier.com/S1078-8174(15)00006-1/sref13" TargetMode="External"/><Relationship Id="rId36" Type="http://schemas.openxmlformats.org/officeDocument/2006/relationships/hyperlink" Target="http://refhub.elsevier.com/S1078-8174(15)00006-1/sref16" TargetMode="External"/><Relationship Id="rId49" Type="http://schemas.openxmlformats.org/officeDocument/2006/relationships/image" Target="media/image1.emf"/><Relationship Id="rId10" Type="http://schemas.openxmlformats.org/officeDocument/2006/relationships/hyperlink" Target="http://refhub.elsevier.com/S1078-8174(15)00006-1/sref3" TargetMode="External"/><Relationship Id="rId19" Type="http://schemas.openxmlformats.org/officeDocument/2006/relationships/hyperlink" Target="http://refhub.elsevier.com/S1078-8174(15)00006-1/sref8" TargetMode="External"/><Relationship Id="rId31" Type="http://schemas.openxmlformats.org/officeDocument/2006/relationships/hyperlink" Target="http://refhub.elsevier.com/S1078-8174(15)00006-1/sref14" TargetMode="External"/><Relationship Id="rId44" Type="http://schemas.openxmlformats.org/officeDocument/2006/relationships/hyperlink" Target="http://refhub.elsevier.com/S1078-8174(15)00006-1/sref20" TargetMode="External"/><Relationship Id="rId4" Type="http://schemas.openxmlformats.org/officeDocument/2006/relationships/hyperlink" Target="mailto:leon.jonker@ncuh.nhs.uk" TargetMode="External"/><Relationship Id="rId9" Type="http://schemas.openxmlformats.org/officeDocument/2006/relationships/hyperlink" Target="http://refhub.elsevier.com/S1078-8174(15)00006-1/sref3" TargetMode="External"/><Relationship Id="rId14" Type="http://schemas.openxmlformats.org/officeDocument/2006/relationships/hyperlink" Target="http://refhub.elsevier.com/S1078-8174(15)00006-1/sref5" TargetMode="External"/><Relationship Id="rId22" Type="http://schemas.openxmlformats.org/officeDocument/2006/relationships/hyperlink" Target="http://refhub.elsevier.com/S1078-8174(15)00006-1/sref9" TargetMode="External"/><Relationship Id="rId27" Type="http://schemas.openxmlformats.org/officeDocument/2006/relationships/hyperlink" Target="http://refhub.elsevier.com/S1078-8174(15)00006-1/sref12" TargetMode="External"/><Relationship Id="rId30" Type="http://schemas.openxmlformats.org/officeDocument/2006/relationships/hyperlink" Target="http://refhub.elsevier.com/S1078-8174(15)00006-1/sref14" TargetMode="External"/><Relationship Id="rId35" Type="http://schemas.openxmlformats.org/officeDocument/2006/relationships/hyperlink" Target="http://refhub.elsevier.com/S1078-8174(15)00006-1/sref16" TargetMode="External"/><Relationship Id="rId43" Type="http://schemas.openxmlformats.org/officeDocument/2006/relationships/hyperlink" Target="http://refhub.elsevier.com/S1078-8174(15)00006-1/sref20" TargetMode="External"/><Relationship Id="rId48" Type="http://schemas.openxmlformats.org/officeDocument/2006/relationships/hyperlink" Target="http://refhub.elsevier.com/S1078-8174(15)00006-1/sref23" TargetMode="External"/><Relationship Id="rId8" Type="http://schemas.openxmlformats.org/officeDocument/2006/relationships/hyperlink" Target="http://refhub.elsevier.com/S1078-8174(15)00006-1/sref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2951</Words>
  <Characters>20654</Characters>
  <Application>Microsoft Office Word</Application>
  <DocSecurity>0</DocSecurity>
  <Lines>172</Lines>
  <Paragraphs>47</Paragraphs>
  <ScaleCrop>false</ScaleCrop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Patients' oral hydration levels and incidence of immediate to short-term mild side-effects in contrast agent enhanced MRI diagnostics</dc:title>
  <dc:subject>Radiography, 21 (2015) 64-67. doi:10.1016/j.radi.2015.01.003</dc:subject>
  <dc:creator>Leon Jonker</dc:creator>
  <cp:keywords/>
  <dc:description/>
  <cp:lastModifiedBy>Leon Cumbria</cp:lastModifiedBy>
  <cp:revision>3</cp:revision>
  <dcterms:created xsi:type="dcterms:W3CDTF">2022-01-01T10:56:00Z</dcterms:created>
  <dcterms:modified xsi:type="dcterms:W3CDTF">2022-01-01T11:01:00Z</dcterms:modified>
</cp:coreProperties>
</file>