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D57E" w14:textId="77777777" w:rsidR="0049466B" w:rsidRPr="00E27432" w:rsidRDefault="0049466B" w:rsidP="0049466B">
      <w:pPr>
        <w:spacing w:line="480" w:lineRule="auto"/>
      </w:pPr>
    </w:p>
    <w:p w14:paraId="2841F38E" w14:textId="77777777" w:rsidR="0049466B" w:rsidRPr="00050286" w:rsidRDefault="0049466B" w:rsidP="0049466B">
      <w:pPr>
        <w:jc w:val="center"/>
        <w:rPr>
          <w:b/>
          <w:bCs/>
        </w:rPr>
      </w:pPr>
      <w:r w:rsidRPr="00050286">
        <w:rPr>
          <w:b/>
          <w:bCs/>
        </w:rPr>
        <w:t>IMPACT OF IMMEDIATE BREAST RECONSTRUCTION ON BREAST CANCER RECURRENCE</w:t>
      </w:r>
      <w:r>
        <w:rPr>
          <w:b/>
          <w:bCs/>
        </w:rPr>
        <w:t>, PROGRESSION</w:t>
      </w:r>
      <w:r w:rsidRPr="00050286">
        <w:rPr>
          <w:b/>
          <w:bCs/>
        </w:rPr>
        <w:t xml:space="preserve"> AND SURVIVAL</w:t>
      </w:r>
    </w:p>
    <w:p w14:paraId="05294B95" w14:textId="77777777" w:rsidR="0049466B" w:rsidRDefault="0049466B" w:rsidP="0049466B">
      <w:pPr>
        <w:spacing w:line="480" w:lineRule="auto"/>
      </w:pPr>
    </w:p>
    <w:p w14:paraId="1C454C90" w14:textId="77777777" w:rsidR="0049466B" w:rsidRPr="00E27432" w:rsidRDefault="0049466B" w:rsidP="0049466B">
      <w:pPr>
        <w:spacing w:line="480" w:lineRule="auto"/>
      </w:pPr>
      <w:r>
        <w:t xml:space="preserve">Running title: </w:t>
      </w:r>
      <w:r w:rsidRPr="00050286">
        <w:rPr>
          <w:highlight w:val="yellow"/>
        </w:rPr>
        <w:t>[....]</w:t>
      </w:r>
      <w:r>
        <w:t>.</w:t>
      </w:r>
    </w:p>
    <w:p w14:paraId="2996FFB3" w14:textId="77777777" w:rsidR="0049466B" w:rsidRPr="00E27432" w:rsidRDefault="0049466B" w:rsidP="0049466B">
      <w:pPr>
        <w:spacing w:line="480" w:lineRule="auto"/>
      </w:pPr>
    </w:p>
    <w:p w14:paraId="20DC4DE2" w14:textId="77777777" w:rsidR="0049466B" w:rsidRPr="003D39A2" w:rsidRDefault="0049466B" w:rsidP="0049466B">
      <w:r>
        <w:t>Thomas Nedumpara</w:t>
      </w:r>
      <w:proofErr w:type="gramStart"/>
      <w:r w:rsidRPr="003D39A2">
        <w:rPr>
          <w:vertAlign w:val="superscript"/>
        </w:rPr>
        <w:t>1</w:t>
      </w:r>
      <w:r>
        <w:rPr>
          <w:vertAlign w:val="superscript"/>
        </w:rPr>
        <w:t>,#</w:t>
      </w:r>
      <w:proofErr w:type="gramEnd"/>
      <w:r w:rsidRPr="003D39A2">
        <w:t>, Leon Jonker</w:t>
      </w:r>
      <w:r>
        <w:rPr>
          <w:vertAlign w:val="superscript"/>
        </w:rPr>
        <w:t>2</w:t>
      </w:r>
      <w:r w:rsidRPr="003D39A2">
        <w:t xml:space="preserve">, </w:t>
      </w:r>
      <w:r>
        <w:t>Mike R W</w:t>
      </w:r>
      <w:r w:rsidRPr="003D39A2">
        <w:t>illiams</w:t>
      </w:r>
      <w:r w:rsidRPr="003D39A2">
        <w:rPr>
          <w:vertAlign w:val="superscript"/>
        </w:rPr>
        <w:t>1</w:t>
      </w:r>
    </w:p>
    <w:p w14:paraId="3EA49CBF" w14:textId="77777777" w:rsidR="0049466B" w:rsidRPr="003D39A2" w:rsidRDefault="0049466B" w:rsidP="0049466B">
      <w:pPr>
        <w:spacing w:line="480" w:lineRule="auto"/>
      </w:pPr>
    </w:p>
    <w:p w14:paraId="4C1E3213" w14:textId="77777777" w:rsidR="0049466B" w:rsidRPr="00E27432" w:rsidRDefault="0049466B" w:rsidP="004946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</w:pPr>
      <w:r w:rsidRPr="00E27432">
        <w:t>North Cumbria University Hospitals NHS Trust, Carlisle, UK</w:t>
      </w:r>
    </w:p>
    <w:p w14:paraId="3D73ED9A" w14:textId="77777777" w:rsidR="0049466B" w:rsidRPr="00E27432" w:rsidRDefault="0049466B" w:rsidP="004946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480" w:lineRule="auto"/>
      </w:pPr>
      <w:r w:rsidRPr="00E27432">
        <w:t>University of Cumbria, Carlisle, UK</w:t>
      </w:r>
    </w:p>
    <w:p w14:paraId="236EF999" w14:textId="77777777" w:rsidR="0049466B" w:rsidRPr="00E27432" w:rsidRDefault="0049466B" w:rsidP="0049466B">
      <w:pPr>
        <w:spacing w:line="480" w:lineRule="auto"/>
      </w:pPr>
    </w:p>
    <w:p w14:paraId="736A3573" w14:textId="77777777" w:rsidR="0049466B" w:rsidRPr="00E27432" w:rsidRDefault="0049466B" w:rsidP="0049466B">
      <w:pPr>
        <w:spacing w:line="480" w:lineRule="auto"/>
      </w:pPr>
      <w:r>
        <w:t xml:space="preserve">Thomas </w:t>
      </w:r>
      <w:proofErr w:type="spellStart"/>
      <w:r>
        <w:t>Nedumpara</w:t>
      </w:r>
      <w:proofErr w:type="spellEnd"/>
      <w:r>
        <w:t xml:space="preserve"> </w:t>
      </w:r>
      <w:r w:rsidRPr="00050286">
        <w:rPr>
          <w:highlight w:val="yellow"/>
        </w:rPr>
        <w:t>[degree], [job title].</w:t>
      </w:r>
      <w:r w:rsidRPr="00E27432">
        <w:t xml:space="preserve"> North Cumbria University Hospitals NHS Trust, Cumberland Infirmary, Carlisle, CA2 7HY, </w:t>
      </w:r>
      <w:hyperlink r:id="rId7" w:history="1">
        <w:r w:rsidRPr="00D23254">
          <w:rPr>
            <w:rStyle w:val="Hyperlink"/>
          </w:rPr>
          <w:t>thomasnedumpara@gmail.com</w:t>
        </w:r>
      </w:hyperlink>
      <w:r>
        <w:t xml:space="preserve">. </w:t>
      </w:r>
      <w:r w:rsidRPr="00050286">
        <w:rPr>
          <w:highlight w:val="yellow"/>
        </w:rPr>
        <w:t>[Tel &amp; Fax]</w:t>
      </w:r>
      <w:r>
        <w:t xml:space="preserve"> </w:t>
      </w:r>
    </w:p>
    <w:p w14:paraId="4C9178EF" w14:textId="77777777" w:rsidR="0049466B" w:rsidRDefault="0049466B" w:rsidP="0049466B">
      <w:pPr>
        <w:spacing w:line="480" w:lineRule="auto"/>
      </w:pPr>
    </w:p>
    <w:p w14:paraId="03D941EB" w14:textId="77777777" w:rsidR="0049466B" w:rsidRPr="00E27432" w:rsidRDefault="0049466B" w:rsidP="0049466B">
      <w:pPr>
        <w:spacing w:line="480" w:lineRule="auto"/>
      </w:pPr>
      <w:r w:rsidRPr="00E27432">
        <w:t>Leon Jonker PhD, Senior Research Fellow, Faculty of Health, Medical Sciences and Social Care, University of Cumbria, Carlisle, CA1 2HH, UK. leon.jonker@cumbria.ac.uk</w:t>
      </w:r>
    </w:p>
    <w:p w14:paraId="40C286B9" w14:textId="77777777" w:rsidR="0049466B" w:rsidRDefault="0049466B" w:rsidP="0049466B">
      <w:pPr>
        <w:spacing w:line="480" w:lineRule="auto"/>
      </w:pPr>
    </w:p>
    <w:p w14:paraId="01B74373" w14:textId="77777777" w:rsidR="0049466B" w:rsidRDefault="0049466B" w:rsidP="0049466B">
      <w:pPr>
        <w:spacing w:line="480" w:lineRule="auto"/>
      </w:pPr>
      <w:r>
        <w:t>Mike Williams FRCS</w:t>
      </w:r>
      <w:r w:rsidRPr="00E27432">
        <w:t xml:space="preserve">, </w:t>
      </w:r>
      <w:r>
        <w:t>Consultant Surgeon</w:t>
      </w:r>
      <w:r w:rsidRPr="00E27432">
        <w:t xml:space="preserve">. North Cumbria University Hospitals NHS Trust, Cumberland Infirmary, Carlisle, CA2 7HY, UK, </w:t>
      </w:r>
      <w:hyperlink r:id="rId8" w:history="1">
        <w:r w:rsidRPr="00D23254">
          <w:rPr>
            <w:rStyle w:val="Hyperlink"/>
          </w:rPr>
          <w:t>mike.williams@ncuh.nhs.uk</w:t>
        </w:r>
      </w:hyperlink>
    </w:p>
    <w:p w14:paraId="6EA336E4" w14:textId="77777777" w:rsidR="0049466B" w:rsidRPr="00E27432" w:rsidRDefault="0049466B" w:rsidP="0049466B">
      <w:pPr>
        <w:spacing w:line="480" w:lineRule="auto"/>
      </w:pPr>
    </w:p>
    <w:p w14:paraId="067DB7CE" w14:textId="77777777" w:rsidR="0049466B" w:rsidRPr="00E27432" w:rsidRDefault="0049466B" w:rsidP="0049466B">
      <w:pPr>
        <w:spacing w:line="480" w:lineRule="auto"/>
      </w:pPr>
      <w:r w:rsidRPr="00E27432">
        <w:t># Author for correspondence</w:t>
      </w:r>
    </w:p>
    <w:p w14:paraId="1A8508A4" w14:textId="77777777" w:rsidR="00D57F56" w:rsidRDefault="00D57F56" w:rsidP="00E10597">
      <w:pPr>
        <w:jc w:val="center"/>
        <w:rPr>
          <w:b/>
          <w:bCs/>
        </w:rPr>
      </w:pPr>
    </w:p>
    <w:p w14:paraId="7CA92F6D" w14:textId="77777777" w:rsidR="00D57F56" w:rsidRDefault="00D57F56" w:rsidP="00E10597">
      <w:pPr>
        <w:jc w:val="center"/>
        <w:rPr>
          <w:b/>
          <w:bCs/>
        </w:rPr>
      </w:pPr>
    </w:p>
    <w:p w14:paraId="018D5D1E" w14:textId="77777777" w:rsidR="00D57F56" w:rsidRDefault="00D57F56" w:rsidP="00E10597">
      <w:pPr>
        <w:jc w:val="center"/>
        <w:rPr>
          <w:b/>
          <w:bCs/>
        </w:rPr>
      </w:pPr>
    </w:p>
    <w:p w14:paraId="2739E665" w14:textId="77777777" w:rsidR="00D57F56" w:rsidRDefault="00D57F56" w:rsidP="00E10597">
      <w:pPr>
        <w:jc w:val="center"/>
        <w:rPr>
          <w:b/>
          <w:bCs/>
        </w:rPr>
      </w:pPr>
    </w:p>
    <w:p w14:paraId="734887C2" w14:textId="77777777" w:rsidR="00D57F56" w:rsidRDefault="00D57F56" w:rsidP="00E10597">
      <w:pPr>
        <w:jc w:val="center"/>
        <w:rPr>
          <w:b/>
          <w:bCs/>
        </w:rPr>
      </w:pPr>
    </w:p>
    <w:p w14:paraId="408D055D" w14:textId="1529568E" w:rsidR="00D57F56" w:rsidRDefault="00D57F56" w:rsidP="00E10597">
      <w:pPr>
        <w:jc w:val="center"/>
        <w:rPr>
          <w:b/>
          <w:bCs/>
        </w:rPr>
      </w:pPr>
    </w:p>
    <w:p w14:paraId="6DEA559B" w14:textId="291B160A" w:rsidR="0049466B" w:rsidRDefault="0049466B" w:rsidP="00E10597">
      <w:pPr>
        <w:jc w:val="center"/>
        <w:rPr>
          <w:b/>
          <w:bCs/>
        </w:rPr>
      </w:pPr>
    </w:p>
    <w:p w14:paraId="0F29463E" w14:textId="77777777" w:rsidR="0049466B" w:rsidRDefault="0049466B" w:rsidP="00E10597">
      <w:pPr>
        <w:jc w:val="center"/>
        <w:rPr>
          <w:b/>
          <w:bCs/>
        </w:rPr>
      </w:pPr>
    </w:p>
    <w:p w14:paraId="7D13A7F5" w14:textId="77777777" w:rsidR="00D57F56" w:rsidRDefault="00D57F56" w:rsidP="00E10597">
      <w:pPr>
        <w:jc w:val="center"/>
        <w:rPr>
          <w:b/>
          <w:bCs/>
        </w:rPr>
      </w:pPr>
    </w:p>
    <w:p w14:paraId="761F66C6" w14:textId="77777777" w:rsidR="0056294B" w:rsidRDefault="0056294B" w:rsidP="00E10597">
      <w:pPr>
        <w:jc w:val="center"/>
        <w:rPr>
          <w:b/>
          <w:bCs/>
        </w:rPr>
      </w:pPr>
    </w:p>
    <w:p w14:paraId="2DB6B50A" w14:textId="77777777" w:rsidR="00BB6076" w:rsidRDefault="00BB6076" w:rsidP="001E5339">
      <w:pPr>
        <w:jc w:val="both"/>
        <w:rPr>
          <w:b/>
          <w:lang w:val="en-US"/>
        </w:rPr>
      </w:pPr>
    </w:p>
    <w:p w14:paraId="74D9DD4E" w14:textId="77777777" w:rsidR="0049466B" w:rsidRPr="006B3E95" w:rsidRDefault="0049466B" w:rsidP="0049466B">
      <w:pPr>
        <w:spacing w:line="480" w:lineRule="auto"/>
        <w:rPr>
          <w:b/>
        </w:rPr>
      </w:pPr>
    </w:p>
    <w:p w14:paraId="650BE05C" w14:textId="77777777" w:rsidR="0049466B" w:rsidRPr="006B3E95" w:rsidRDefault="0049466B" w:rsidP="0049466B">
      <w:pPr>
        <w:jc w:val="both"/>
        <w:rPr>
          <w:b/>
        </w:rPr>
      </w:pPr>
      <w:r w:rsidRPr="006B3E95">
        <w:rPr>
          <w:b/>
        </w:rPr>
        <w:t>Summary</w:t>
      </w:r>
    </w:p>
    <w:p w14:paraId="13AB2056" w14:textId="77777777" w:rsidR="0049466B" w:rsidRPr="006B3E95" w:rsidRDefault="0049466B" w:rsidP="0049466B">
      <w:pPr>
        <w:jc w:val="both"/>
      </w:pPr>
      <w:r w:rsidRPr="006B3E95">
        <w:rPr>
          <w:u w:val="single"/>
        </w:rPr>
        <w:t xml:space="preserve"> </w:t>
      </w:r>
      <w:r w:rsidRPr="006B3E95">
        <w:t xml:space="preserve"> </w:t>
      </w:r>
    </w:p>
    <w:p w14:paraId="270440D6" w14:textId="77777777" w:rsidR="0049466B" w:rsidRPr="0019346E" w:rsidRDefault="0049466B" w:rsidP="0049466B">
      <w:pPr>
        <w:jc w:val="both"/>
      </w:pPr>
      <w:r>
        <w:t xml:space="preserve">The practice of </w:t>
      </w:r>
      <w:r w:rsidRPr="00637D14">
        <w:t xml:space="preserve">Immediate Breast Reconstruction (IBR) following </w:t>
      </w:r>
      <w:r>
        <w:t>m</w:t>
      </w:r>
      <w:r w:rsidRPr="00637D14">
        <w:t xml:space="preserve">astectomy for primary breast cancer is increasingly adopted. </w:t>
      </w:r>
      <w:r>
        <w:t>Here, t</w:t>
      </w:r>
      <w:r w:rsidRPr="00637D14">
        <w:t xml:space="preserve">he impact of IBR on </w:t>
      </w:r>
      <w:r>
        <w:t xml:space="preserve">disease progression and survival </w:t>
      </w:r>
      <w:r w:rsidRPr="00637D14">
        <w:t xml:space="preserve">following treatment </w:t>
      </w:r>
      <w:r>
        <w:t>for</w:t>
      </w:r>
      <w:r w:rsidRPr="00637D14">
        <w:t xml:space="preserve"> invasive breast cancer was assessed. A total of 1697 consecutive patients underwent surgery for operable primary breast cancer between 1996 and 2007. Of those, 691 (41%) received mastectomy of whom 136 (</w:t>
      </w:r>
      <w:r w:rsidRPr="0019346E">
        <w:t xml:space="preserve">21%) </w:t>
      </w:r>
      <w:r>
        <w:t xml:space="preserve">also </w:t>
      </w:r>
      <w:r w:rsidRPr="0019346E">
        <w:t>underwent IBR</w:t>
      </w:r>
      <w:r w:rsidRPr="0019346E">
        <w:rPr>
          <w:iCs/>
        </w:rPr>
        <w:t xml:space="preserve">. </w:t>
      </w:r>
      <w:r>
        <w:rPr>
          <w:iCs/>
        </w:rPr>
        <w:t>O</w:t>
      </w:r>
      <w:r w:rsidRPr="0019346E">
        <w:t xml:space="preserve">verall survival, local and distant recurrence </w:t>
      </w:r>
      <w:r>
        <w:t xml:space="preserve">in patients who underwent mastectomy </w:t>
      </w:r>
      <w:r w:rsidRPr="0019346E">
        <w:t xml:space="preserve">was </w:t>
      </w:r>
      <w:r>
        <w:t>compared for those patients who also underwent IBR.</w:t>
      </w:r>
      <w:r w:rsidRPr="0019346E">
        <w:t xml:space="preserve"> </w:t>
      </w:r>
      <w:r>
        <w:t>N</w:t>
      </w:r>
      <w:r w:rsidRPr="0019346E">
        <w:t xml:space="preserve">o </w:t>
      </w:r>
      <w:r>
        <w:t xml:space="preserve">significant </w:t>
      </w:r>
      <w:r w:rsidRPr="0019346E">
        <w:t xml:space="preserve">difference </w:t>
      </w:r>
      <w:r>
        <w:t xml:space="preserve">was found </w:t>
      </w:r>
      <w:r w:rsidRPr="0019346E">
        <w:t xml:space="preserve">between IBR and mastectomy </w:t>
      </w:r>
      <w:r>
        <w:t>only,</w:t>
      </w:r>
      <w:r w:rsidRPr="0019346E">
        <w:t xml:space="preserve"> in </w:t>
      </w:r>
      <w:r>
        <w:t xml:space="preserve">terms of </w:t>
      </w:r>
      <w:r w:rsidRPr="0019346E">
        <w:t>survival (p= 0.176), time to distant metastasis (p= 0.783) or local recurrence (p= 0.505)</w:t>
      </w:r>
      <w:r>
        <w:t xml:space="preserve">. There were no significant changes observed when patients were allocated to sub-groups as defined by </w:t>
      </w:r>
      <w:r w:rsidRPr="0019346E">
        <w:t xml:space="preserve">Nottingham Prognostic </w:t>
      </w:r>
      <w:r>
        <w:t>Index scores</w:t>
      </w:r>
      <w:r w:rsidRPr="0019346E">
        <w:t xml:space="preserve">. </w:t>
      </w:r>
      <w:r>
        <w:t xml:space="preserve">In terms of post-surgical survival and disease progression, </w:t>
      </w:r>
      <w:r w:rsidRPr="0019346E">
        <w:t xml:space="preserve">IBR </w:t>
      </w:r>
      <w:r>
        <w:t>following</w:t>
      </w:r>
      <w:r w:rsidRPr="0019346E">
        <w:t xml:space="preserve"> mastectomy </w:t>
      </w:r>
      <w:r>
        <w:t>has a similar profile to mastectomy</w:t>
      </w:r>
      <w:r w:rsidRPr="0019346E">
        <w:t>.</w:t>
      </w:r>
    </w:p>
    <w:p w14:paraId="6938110E" w14:textId="77777777" w:rsidR="0049466B" w:rsidRPr="0019346E" w:rsidRDefault="0049466B" w:rsidP="0049466B">
      <w:pPr>
        <w:spacing w:line="480" w:lineRule="auto"/>
      </w:pPr>
    </w:p>
    <w:p w14:paraId="26F33295" w14:textId="77777777" w:rsidR="0049466B" w:rsidRDefault="0049466B" w:rsidP="0049466B">
      <w:pPr>
        <w:spacing w:line="480" w:lineRule="auto"/>
      </w:pPr>
      <w:r w:rsidRPr="00A97EDD">
        <w:rPr>
          <w:highlight w:val="yellow"/>
        </w:rPr>
        <w:t>[</w:t>
      </w:r>
      <w:r>
        <w:rPr>
          <w:highlight w:val="yellow"/>
        </w:rPr>
        <w:t>150</w:t>
      </w:r>
      <w:r w:rsidRPr="00A97EDD">
        <w:rPr>
          <w:highlight w:val="yellow"/>
        </w:rPr>
        <w:t xml:space="preserve"> words</w:t>
      </w:r>
      <w:r>
        <w:rPr>
          <w:highlight w:val="yellow"/>
        </w:rPr>
        <w:t>; 150 words max</w:t>
      </w:r>
      <w:r w:rsidRPr="00A97EDD">
        <w:rPr>
          <w:highlight w:val="yellow"/>
        </w:rPr>
        <w:t xml:space="preserve">] </w:t>
      </w:r>
    </w:p>
    <w:p w14:paraId="5AE85891" w14:textId="77777777" w:rsidR="0049466B" w:rsidRPr="006B3E95" w:rsidRDefault="0049466B" w:rsidP="0049466B">
      <w:pPr>
        <w:jc w:val="both"/>
        <w:rPr>
          <w:b/>
        </w:rPr>
      </w:pPr>
      <w:r w:rsidRPr="006B3E95">
        <w:rPr>
          <w:b/>
        </w:rPr>
        <w:t>Key words</w:t>
      </w:r>
    </w:p>
    <w:p w14:paraId="1E9A95BC" w14:textId="77777777" w:rsidR="0049466B" w:rsidRPr="006B3E95" w:rsidRDefault="0049466B" w:rsidP="0049466B">
      <w:pPr>
        <w:jc w:val="both"/>
      </w:pPr>
      <w:r w:rsidRPr="006B3E95">
        <w:t>Invasive breast cancer, Immediate Breast Reconstruction, Survival, Local Recurrence, Nottingham Prognostic Index</w:t>
      </w:r>
      <w:r w:rsidRPr="006B3E95">
        <w:rPr>
          <w:vertAlign w:val="superscript"/>
        </w:rPr>
        <w:t xml:space="preserve">1 </w:t>
      </w:r>
    </w:p>
    <w:p w14:paraId="09560F0E" w14:textId="436FA31E" w:rsidR="0049466B" w:rsidRDefault="0049466B" w:rsidP="001E5339">
      <w:pPr>
        <w:jc w:val="both"/>
        <w:rPr>
          <w:b/>
          <w:lang w:val="en-US"/>
        </w:rPr>
      </w:pPr>
    </w:p>
    <w:p w14:paraId="2CD19CDA" w14:textId="007B20B4" w:rsidR="0049466B" w:rsidRDefault="0049466B" w:rsidP="001E5339">
      <w:pPr>
        <w:jc w:val="both"/>
        <w:rPr>
          <w:b/>
          <w:lang w:val="en-US"/>
        </w:rPr>
      </w:pPr>
    </w:p>
    <w:p w14:paraId="0EA25423" w14:textId="77777777" w:rsidR="0049466B" w:rsidRDefault="0049466B" w:rsidP="001E5339">
      <w:pPr>
        <w:jc w:val="both"/>
        <w:rPr>
          <w:b/>
          <w:lang w:val="en-US"/>
        </w:rPr>
      </w:pPr>
    </w:p>
    <w:p w14:paraId="337A45F0" w14:textId="77777777" w:rsidR="0049466B" w:rsidRDefault="0049466B" w:rsidP="001E5339">
      <w:pPr>
        <w:jc w:val="both"/>
        <w:rPr>
          <w:b/>
          <w:lang w:val="en-US"/>
        </w:rPr>
      </w:pPr>
    </w:p>
    <w:p w14:paraId="554C04E4" w14:textId="458C53DE" w:rsidR="00E10597" w:rsidRPr="00E10597" w:rsidRDefault="00E10597" w:rsidP="001E5339">
      <w:pPr>
        <w:jc w:val="both"/>
        <w:rPr>
          <w:b/>
          <w:lang w:val="en-US"/>
        </w:rPr>
      </w:pPr>
      <w:r w:rsidRPr="00E10597">
        <w:rPr>
          <w:b/>
          <w:lang w:val="en-US"/>
        </w:rPr>
        <w:t>Introduction</w:t>
      </w:r>
    </w:p>
    <w:p w14:paraId="60648AE0" w14:textId="0A08890B" w:rsidR="0059050E" w:rsidRDefault="00E10597" w:rsidP="001E5339">
      <w:pPr>
        <w:jc w:val="both"/>
      </w:pPr>
      <w:r>
        <w:t>Immediate Breast Reconstruction (</w:t>
      </w:r>
      <w:r w:rsidR="0059050E" w:rsidRPr="00E10597">
        <w:t xml:space="preserve">IBR) </w:t>
      </w:r>
      <w:r w:rsidR="005E3EC6">
        <w:t>following</w:t>
      </w:r>
      <w:r w:rsidRPr="00E10597">
        <w:t xml:space="preserve"> </w:t>
      </w:r>
      <w:r w:rsidR="00951E97">
        <w:t>M</w:t>
      </w:r>
      <w:r w:rsidRPr="00E10597">
        <w:t>astectomy</w:t>
      </w:r>
      <w:r w:rsidR="00EC28CF">
        <w:t xml:space="preserve"> </w:t>
      </w:r>
      <w:r w:rsidR="00951E97">
        <w:t>(Mx)</w:t>
      </w:r>
      <w:r w:rsidRPr="00E10597">
        <w:t xml:space="preserve"> for </w:t>
      </w:r>
      <w:r w:rsidR="00951E97">
        <w:t xml:space="preserve">primary </w:t>
      </w:r>
      <w:r w:rsidRPr="00E10597">
        <w:t>breast cancer is being increasingly adopted</w:t>
      </w:r>
      <w:r>
        <w:t xml:space="preserve">. </w:t>
      </w:r>
      <w:r w:rsidR="005E3EC6">
        <w:t xml:space="preserve">The UK </w:t>
      </w:r>
      <w:r w:rsidR="0070345B">
        <w:t>National Institute of Clinical Excellence (NICE) recommend</w:t>
      </w:r>
      <w:r w:rsidR="00F35FE9">
        <w:t>s</w:t>
      </w:r>
      <w:r w:rsidR="0070345B">
        <w:t xml:space="preserve"> that all patients </w:t>
      </w:r>
      <w:r w:rsidR="005E3EC6">
        <w:t>receiving</w:t>
      </w:r>
      <w:r w:rsidR="0070345B">
        <w:t xml:space="preserve"> mastectomy </w:t>
      </w:r>
      <w:r w:rsidR="0021272F">
        <w:t xml:space="preserve">should </w:t>
      </w:r>
      <w:r w:rsidR="0070345B">
        <w:t>be offered IBR</w:t>
      </w:r>
      <w:r w:rsidR="00286B10">
        <w:t xml:space="preserve">, </w:t>
      </w:r>
      <w:r w:rsidR="000D4DA8">
        <w:t>unless significant</w:t>
      </w:r>
      <w:r w:rsidR="0070345B">
        <w:t xml:space="preserve"> comorbidity </w:t>
      </w:r>
      <w:proofErr w:type="gramStart"/>
      <w:r w:rsidR="0070345B">
        <w:t xml:space="preserve">or </w:t>
      </w:r>
      <w:r w:rsidR="00286B10">
        <w:t xml:space="preserve"> adjuvant</w:t>
      </w:r>
      <w:proofErr w:type="gramEnd"/>
      <w:r w:rsidR="0070345B">
        <w:t xml:space="preserve"> therap</w:t>
      </w:r>
      <w:r w:rsidR="008D0041">
        <w:t xml:space="preserve">ies </w:t>
      </w:r>
      <w:r w:rsidR="0070345B">
        <w:t>preclude this option.</w:t>
      </w:r>
      <w:r w:rsidR="00C2657E">
        <w:rPr>
          <w:sz w:val="20"/>
          <w:szCs w:val="20"/>
          <w:vertAlign w:val="superscript"/>
        </w:rPr>
        <w:t>2</w:t>
      </w:r>
      <w:r w:rsidR="00286B10">
        <w:t xml:space="preserve"> The</w:t>
      </w:r>
      <w:r w:rsidR="001C187D">
        <w:t xml:space="preserve"> results of </w:t>
      </w:r>
      <w:r w:rsidR="00286B10">
        <w:t xml:space="preserve"> a national audit of primary and delayed breast reconstruction</w:t>
      </w:r>
      <w:r w:rsidR="0059050E">
        <w:t xml:space="preserve"> jointly conducted by </w:t>
      </w:r>
      <w:r w:rsidR="00EC28CF">
        <w:t xml:space="preserve">The </w:t>
      </w:r>
      <w:r w:rsidR="0059050E">
        <w:t xml:space="preserve">British Association of Surgical </w:t>
      </w:r>
      <w:r w:rsidR="002E3DE0">
        <w:t>O</w:t>
      </w:r>
      <w:r w:rsidR="0059050E">
        <w:t xml:space="preserve">ncology (BASO) and </w:t>
      </w:r>
      <w:r w:rsidR="0021272F">
        <w:t xml:space="preserve">The </w:t>
      </w:r>
      <w:r w:rsidR="0059050E">
        <w:t>Royal College of Surgeons of England</w:t>
      </w:r>
      <w:r w:rsidR="001C187D">
        <w:t xml:space="preserve"> are currently awaited</w:t>
      </w:r>
      <w:r w:rsidR="00C2657E">
        <w:rPr>
          <w:sz w:val="20"/>
          <w:szCs w:val="20"/>
          <w:vertAlign w:val="superscript"/>
        </w:rPr>
        <w:t>3</w:t>
      </w:r>
      <w:r w:rsidR="0059050E" w:rsidRPr="00C2657E">
        <w:rPr>
          <w:sz w:val="20"/>
          <w:szCs w:val="20"/>
          <w:vertAlign w:val="superscript"/>
        </w:rPr>
        <w:t>.</w:t>
      </w:r>
      <w:r w:rsidR="0070345B">
        <w:t xml:space="preserve">     </w:t>
      </w:r>
    </w:p>
    <w:p w14:paraId="0C308A5F" w14:textId="77777777" w:rsidR="0059050E" w:rsidRDefault="0059050E" w:rsidP="001E5339">
      <w:pPr>
        <w:jc w:val="both"/>
      </w:pPr>
    </w:p>
    <w:p w14:paraId="3D390D91" w14:textId="77777777" w:rsidR="0021272F" w:rsidRDefault="0070345B" w:rsidP="001E5339">
      <w:pPr>
        <w:jc w:val="both"/>
        <w:rPr>
          <w:sz w:val="20"/>
          <w:szCs w:val="20"/>
          <w:vertAlign w:val="superscript"/>
        </w:rPr>
      </w:pPr>
      <w:r>
        <w:t>There</w:t>
      </w:r>
      <w:r w:rsidR="00E10597">
        <w:t xml:space="preserve"> are</w:t>
      </w:r>
      <w:r w:rsidR="001C187D">
        <w:t xml:space="preserve"> </w:t>
      </w:r>
      <w:r w:rsidR="0059050E">
        <w:t>potential advantages</w:t>
      </w:r>
      <w:r w:rsidR="00E10597">
        <w:t xml:space="preserve"> for IBR</w:t>
      </w:r>
      <w:r w:rsidR="0059050E">
        <w:t xml:space="preserve"> over </w:t>
      </w:r>
      <w:r w:rsidR="001C187D">
        <w:t xml:space="preserve">a </w:t>
      </w:r>
      <w:r w:rsidR="0059050E">
        <w:t xml:space="preserve">delayed approach. </w:t>
      </w:r>
      <w:r w:rsidR="0060242F">
        <w:t>In one operation</w:t>
      </w:r>
      <w:r w:rsidR="00EC28CF">
        <w:t xml:space="preserve"> both </w:t>
      </w:r>
      <w:r w:rsidR="0060242F">
        <w:t xml:space="preserve">the </w:t>
      </w:r>
      <w:r w:rsidR="0021272F">
        <w:t>tumour</w:t>
      </w:r>
      <w:r w:rsidR="0060242F">
        <w:t xml:space="preserve"> is </w:t>
      </w:r>
      <w:r w:rsidR="00EC28CF">
        <w:t>removed</w:t>
      </w:r>
      <w:r w:rsidR="0060242F">
        <w:t xml:space="preserve"> and body image </w:t>
      </w:r>
      <w:r w:rsidR="0021272F">
        <w:t>maintained</w:t>
      </w:r>
      <w:r w:rsidR="0060242F">
        <w:t xml:space="preserve">. This </w:t>
      </w:r>
      <w:r w:rsidR="001C187D">
        <w:t xml:space="preserve">can </w:t>
      </w:r>
      <w:r w:rsidR="0060242F">
        <w:t>ha</w:t>
      </w:r>
      <w:r w:rsidR="001C187D">
        <w:t>ve</w:t>
      </w:r>
      <w:r w:rsidR="0060242F">
        <w:t xml:space="preserve"> a profound positive </w:t>
      </w:r>
      <w:r w:rsidR="001C187D">
        <w:t>impac</w:t>
      </w:r>
      <w:r w:rsidR="0060242F">
        <w:t>t on the patient</w:t>
      </w:r>
      <w:r w:rsidR="0021272F">
        <w:t>’s</w:t>
      </w:r>
      <w:r w:rsidR="0060242F">
        <w:t xml:space="preserve"> </w:t>
      </w:r>
      <w:r w:rsidR="0021272F">
        <w:t>psychological and emotional well being</w:t>
      </w:r>
      <w:r w:rsidR="00092D0C">
        <w:t xml:space="preserve"> especially in the young</w:t>
      </w:r>
      <w:r w:rsidR="00760F5D">
        <w:rPr>
          <w:sz w:val="20"/>
          <w:vertAlign w:val="superscript"/>
        </w:rPr>
        <w:t>4</w:t>
      </w:r>
      <w:r w:rsidR="0003633E">
        <w:t xml:space="preserve">. </w:t>
      </w:r>
      <w:r w:rsidR="001C187D">
        <w:t>When</w:t>
      </w:r>
      <w:r w:rsidR="005E417A">
        <w:t xml:space="preserve"> reconstruction</w:t>
      </w:r>
      <w:r w:rsidR="0059050E">
        <w:t xml:space="preserve"> is delayed some</w:t>
      </w:r>
      <w:r w:rsidR="005E417A">
        <w:t xml:space="preserve"> poor prognostic patients may n</w:t>
      </w:r>
      <w:r w:rsidR="00EC28CF">
        <w:t>ever</w:t>
      </w:r>
      <w:r w:rsidR="005E417A">
        <w:t xml:space="preserve"> receive</w:t>
      </w:r>
      <w:r w:rsidR="001C187D">
        <w:t xml:space="preserve"> the </w:t>
      </w:r>
      <w:r w:rsidR="00CC0887">
        <w:t>p</w:t>
      </w:r>
      <w:r w:rsidR="001C187D">
        <w:t xml:space="preserve">otential advantages </w:t>
      </w:r>
      <w:r w:rsidR="00CC0887">
        <w:t>of reconstruction</w:t>
      </w:r>
      <w:r w:rsidR="005E417A">
        <w:t>.</w:t>
      </w:r>
      <w:r w:rsidR="0021272F" w:rsidRPr="0021272F">
        <w:t xml:space="preserve"> </w:t>
      </w:r>
      <w:r w:rsidR="00EC28CF">
        <w:t>Other d</w:t>
      </w:r>
      <w:r w:rsidR="0021272F">
        <w:t xml:space="preserve">rawbacks associated with delayed reconstruction are the need for large skin paddles </w:t>
      </w:r>
      <w:r w:rsidR="00870083">
        <w:t>required to</w:t>
      </w:r>
      <w:r w:rsidR="0021272F">
        <w:t xml:space="preserve"> recreat</w:t>
      </w:r>
      <w:r w:rsidR="00870083">
        <w:t>e</w:t>
      </w:r>
      <w:r w:rsidR="00EC28CF">
        <w:t xml:space="preserve"> a symmetrical </w:t>
      </w:r>
      <w:r w:rsidR="0021272F">
        <w:t xml:space="preserve">breast mound, a second anaesthetic and psychological stress for the patient </w:t>
      </w:r>
      <w:r w:rsidR="00EC28CF">
        <w:t>prior to</w:t>
      </w:r>
      <w:r w:rsidR="0021272F">
        <w:t xml:space="preserve"> the reconstruction.</w:t>
      </w:r>
      <w:r w:rsidR="0021272F">
        <w:rPr>
          <w:sz w:val="20"/>
          <w:szCs w:val="20"/>
          <w:vertAlign w:val="superscript"/>
        </w:rPr>
        <w:t>5</w:t>
      </w:r>
    </w:p>
    <w:p w14:paraId="50CA5036" w14:textId="77777777" w:rsidR="002E3DE0" w:rsidRPr="00B65A6E" w:rsidRDefault="002E3DE0" w:rsidP="001E5339">
      <w:pPr>
        <w:jc w:val="both"/>
        <w:rPr>
          <w:sz w:val="20"/>
          <w:szCs w:val="20"/>
          <w:vertAlign w:val="superscript"/>
        </w:rPr>
      </w:pPr>
    </w:p>
    <w:p w14:paraId="7C740DF7" w14:textId="77777777" w:rsidR="00325C0E" w:rsidRDefault="001C187D" w:rsidP="001E5339">
      <w:pPr>
        <w:jc w:val="both"/>
      </w:pPr>
      <w:r>
        <w:t xml:space="preserve">Others have argued </w:t>
      </w:r>
      <w:r w:rsidR="00CC0887">
        <w:t xml:space="preserve">in favour of </w:t>
      </w:r>
      <w:r>
        <w:t>a delayed approach</w:t>
      </w:r>
      <w:r w:rsidR="00CC0887">
        <w:t xml:space="preserve"> as</w:t>
      </w:r>
      <w:r w:rsidR="0059050E">
        <w:t xml:space="preserve"> there is more time for the patient to </w:t>
      </w:r>
      <w:r w:rsidR="00870083">
        <w:t>explore</w:t>
      </w:r>
      <w:r w:rsidR="0059050E">
        <w:t xml:space="preserve"> different reconstructive </w:t>
      </w:r>
      <w:r w:rsidR="002E3DE0">
        <w:t>techniques</w:t>
      </w:r>
      <w:r w:rsidR="0059050E">
        <w:t xml:space="preserve"> </w:t>
      </w:r>
      <w:r w:rsidR="00CC0887">
        <w:t>allowing them to</w:t>
      </w:r>
      <w:r w:rsidR="0059050E">
        <w:t xml:space="preserve"> opt for reconstructive procedures which may not be available in the primary </w:t>
      </w:r>
      <w:r w:rsidR="00650BAA">
        <w:t>treatment</w:t>
      </w:r>
      <w:r w:rsidR="0059050E">
        <w:t xml:space="preserve"> centre</w:t>
      </w:r>
      <w:r w:rsidR="00650BAA">
        <w:t xml:space="preserve">. With </w:t>
      </w:r>
      <w:r w:rsidR="00870083">
        <w:t xml:space="preserve">a </w:t>
      </w:r>
      <w:r w:rsidR="00650BAA">
        <w:t xml:space="preserve">delayed approach there is </w:t>
      </w:r>
      <w:r w:rsidR="00870083">
        <w:t>less</w:t>
      </w:r>
      <w:r w:rsidR="00650BAA">
        <w:t xml:space="preserve"> adverse effect </w:t>
      </w:r>
      <w:r w:rsidR="00CC0887">
        <w:t xml:space="preserve">of radiation </w:t>
      </w:r>
      <w:r w:rsidR="00650BAA">
        <w:t xml:space="preserve">on </w:t>
      </w:r>
      <w:proofErr w:type="gramStart"/>
      <w:r w:rsidR="00650BAA">
        <w:t>implant based</w:t>
      </w:r>
      <w:proofErr w:type="gramEnd"/>
      <w:r w:rsidR="00650BAA">
        <w:t xml:space="preserve"> reconstruction.</w:t>
      </w:r>
      <w:r w:rsidR="00870083">
        <w:t xml:space="preserve"> </w:t>
      </w:r>
      <w:r w:rsidR="00F172D5">
        <w:t xml:space="preserve"> </w:t>
      </w:r>
      <w:r w:rsidR="00870083">
        <w:t>R</w:t>
      </w:r>
      <w:r w:rsidR="00F172D5">
        <w:t xml:space="preserve">adiation damage to the skin can be assessed more accurately and any tissues damaged by </w:t>
      </w:r>
      <w:r w:rsidR="00EC28CF">
        <w:t xml:space="preserve">adjuvant </w:t>
      </w:r>
      <w:r w:rsidR="00F172D5">
        <w:t xml:space="preserve">radiation can be discarded at the time of reconstruction. </w:t>
      </w:r>
    </w:p>
    <w:p w14:paraId="0B48C195" w14:textId="77777777" w:rsidR="00870083" w:rsidRDefault="00870083" w:rsidP="001E5339">
      <w:pPr>
        <w:jc w:val="both"/>
      </w:pPr>
    </w:p>
    <w:p w14:paraId="0137268F" w14:textId="7369F063" w:rsidR="005E417A" w:rsidRDefault="004D1495" w:rsidP="001E5339">
      <w:pPr>
        <w:jc w:val="both"/>
      </w:pPr>
      <w:r>
        <w:lastRenderedPageBreak/>
        <w:t>T</w:t>
      </w:r>
      <w:r w:rsidR="0060242F">
        <w:t xml:space="preserve">here are </w:t>
      </w:r>
      <w:r w:rsidR="00870083">
        <w:t xml:space="preserve">potential </w:t>
      </w:r>
      <w:r w:rsidR="0060242F">
        <w:t xml:space="preserve">oncological safety concerns </w:t>
      </w:r>
      <w:r w:rsidR="00953521">
        <w:t>when</w:t>
      </w:r>
      <w:r>
        <w:t xml:space="preserve"> IBR</w:t>
      </w:r>
      <w:r w:rsidR="0060242F">
        <w:t xml:space="preserve"> </w:t>
      </w:r>
      <w:r w:rsidR="00953521">
        <w:t xml:space="preserve">is carried out </w:t>
      </w:r>
      <w:r>
        <w:t xml:space="preserve">in </w:t>
      </w:r>
      <w:r w:rsidR="00953521">
        <w:t xml:space="preserve">that </w:t>
      </w:r>
      <w:r w:rsidR="00DB7B6C">
        <w:t>more</w:t>
      </w:r>
      <w:r w:rsidR="00953521">
        <w:t xml:space="preserve"> breast tissue may be left behind </w:t>
      </w:r>
      <w:r w:rsidR="0060242F">
        <w:t xml:space="preserve">in an effort to conserve skin especially when an implant only reconstruction </w:t>
      </w:r>
      <w:r w:rsidR="00953521">
        <w:t>i</w:t>
      </w:r>
      <w:r w:rsidR="0060242F">
        <w:t xml:space="preserve">s </w:t>
      </w:r>
      <w:r w:rsidR="005E417A">
        <w:t>employed</w:t>
      </w:r>
      <w:r w:rsidR="0060242F">
        <w:t xml:space="preserve">. </w:t>
      </w:r>
      <w:r w:rsidR="00953521">
        <w:t xml:space="preserve">There is </w:t>
      </w:r>
      <w:r w:rsidR="00DB7B6C">
        <w:t xml:space="preserve">also </w:t>
      </w:r>
      <w:r w:rsidR="00953521">
        <w:t>potential</w:t>
      </w:r>
      <w:r w:rsidR="0060242F">
        <w:t xml:space="preserve"> delay in starting adjuvant treatment</w:t>
      </w:r>
      <w:r w:rsidR="001D2A6F">
        <w:t>s</w:t>
      </w:r>
      <w:r w:rsidR="0060242F">
        <w:t xml:space="preserve"> especially chemotherapy and radiotherapy</w:t>
      </w:r>
      <w:r w:rsidR="007903D2">
        <w:t xml:space="preserve"> </w:t>
      </w:r>
      <w:r w:rsidR="0003633E">
        <w:t>if</w:t>
      </w:r>
      <w:r w:rsidR="00953521">
        <w:t xml:space="preserve"> post operative complication</w:t>
      </w:r>
      <w:r w:rsidR="007903D2">
        <w:t>s</w:t>
      </w:r>
      <w:r w:rsidR="00953521">
        <w:t xml:space="preserve"> of IBR</w:t>
      </w:r>
      <w:r w:rsidR="0003633E">
        <w:t xml:space="preserve"> were to occur</w:t>
      </w:r>
      <w:r w:rsidR="0060242F">
        <w:t xml:space="preserve">. </w:t>
      </w:r>
      <w:r>
        <w:t>Chemotherapy following IBR</w:t>
      </w:r>
      <w:r w:rsidR="00DD01AB">
        <w:t xml:space="preserve"> </w:t>
      </w:r>
      <w:r>
        <w:t xml:space="preserve">may increase the risk of </w:t>
      </w:r>
      <w:r w:rsidR="00EC28CF">
        <w:t xml:space="preserve">early </w:t>
      </w:r>
      <w:r>
        <w:t>implant infection</w:t>
      </w:r>
      <w:r w:rsidR="00DD01AB">
        <w:t xml:space="preserve"> </w:t>
      </w:r>
      <w:r>
        <w:t xml:space="preserve">affecting continuation of adjuvant </w:t>
      </w:r>
      <w:r w:rsidR="00DD01AB">
        <w:t xml:space="preserve">treatments. </w:t>
      </w:r>
      <w:r w:rsidR="0033488B">
        <w:t xml:space="preserve"> </w:t>
      </w:r>
      <w:r w:rsidR="00EC28CF">
        <w:t xml:space="preserve">              </w:t>
      </w:r>
      <w:r w:rsidR="00B65A6E">
        <w:t xml:space="preserve">M. Mortenson found that IBR </w:t>
      </w:r>
      <w:r w:rsidR="00DD01AB">
        <w:t>wa</w:t>
      </w:r>
      <w:r w:rsidR="00B65A6E">
        <w:t>s associated with an increased r</w:t>
      </w:r>
      <w:r w:rsidR="00EC28CF">
        <w:t>isk</w:t>
      </w:r>
      <w:r w:rsidR="00B65A6E">
        <w:t xml:space="preserve"> of surgical site complications, but d</w:t>
      </w:r>
      <w:r w:rsidR="00DD01AB">
        <w:t xml:space="preserve">id </w:t>
      </w:r>
      <w:r w:rsidR="00B65A6E">
        <w:t>n</w:t>
      </w:r>
      <w:r w:rsidR="00DD01AB">
        <w:t>o</w:t>
      </w:r>
      <w:r w:rsidR="00B65A6E">
        <w:t>t delay the initiation of chemotherapy.</w:t>
      </w:r>
      <w:r w:rsidR="001528B1">
        <w:rPr>
          <w:sz w:val="20"/>
          <w:szCs w:val="20"/>
          <w:vertAlign w:val="superscript"/>
        </w:rPr>
        <w:t>6</w:t>
      </w:r>
      <w:r w:rsidR="00B65A6E">
        <w:t xml:space="preserve"> </w:t>
      </w:r>
      <w:r w:rsidR="00773229">
        <w:t xml:space="preserve">Several </w:t>
      </w:r>
      <w:r w:rsidR="00DD01AB">
        <w:t xml:space="preserve">other </w:t>
      </w:r>
      <w:r w:rsidR="00B110C4">
        <w:t>studies have</w:t>
      </w:r>
      <w:r w:rsidR="00A50004">
        <w:t xml:space="preserve"> </w:t>
      </w:r>
      <w:r w:rsidR="00FA7311">
        <w:t>confirmed</w:t>
      </w:r>
      <w:r w:rsidR="00A50004">
        <w:t xml:space="preserve"> that IBR does</w:t>
      </w:r>
      <w:r w:rsidR="00FA7311">
        <w:t xml:space="preserve"> </w:t>
      </w:r>
      <w:r w:rsidR="00A50004">
        <w:t>n</w:t>
      </w:r>
      <w:r w:rsidR="00FA7311">
        <w:t>o</w:t>
      </w:r>
      <w:r w:rsidR="00A50004">
        <w:t xml:space="preserve">t affect </w:t>
      </w:r>
      <w:r w:rsidR="0003633E">
        <w:t xml:space="preserve">the timing or </w:t>
      </w:r>
      <w:r w:rsidR="00A50004">
        <w:t>delivery of post operative chemotherapy.</w:t>
      </w:r>
      <w:r w:rsidR="005D19C6" w:rsidRPr="005D19C6">
        <w:rPr>
          <w:sz w:val="20"/>
          <w:szCs w:val="20"/>
          <w:vertAlign w:val="superscript"/>
        </w:rPr>
        <w:t>7</w:t>
      </w:r>
      <w:r w:rsidR="005D19C6">
        <w:rPr>
          <w:sz w:val="20"/>
          <w:szCs w:val="20"/>
          <w:vertAlign w:val="superscript"/>
        </w:rPr>
        <w:t>,</w:t>
      </w:r>
      <w:r w:rsidR="005D19C6" w:rsidRPr="005D19C6">
        <w:rPr>
          <w:sz w:val="20"/>
          <w:szCs w:val="20"/>
          <w:vertAlign w:val="superscript"/>
        </w:rPr>
        <w:t>8</w:t>
      </w:r>
      <w:r w:rsidR="005D19C6">
        <w:rPr>
          <w:sz w:val="20"/>
          <w:szCs w:val="20"/>
          <w:vertAlign w:val="superscript"/>
        </w:rPr>
        <w:t>,</w:t>
      </w:r>
      <w:r w:rsidR="005D19C6" w:rsidRPr="005D19C6">
        <w:rPr>
          <w:sz w:val="20"/>
          <w:szCs w:val="20"/>
          <w:vertAlign w:val="superscript"/>
        </w:rPr>
        <w:t>9</w:t>
      </w:r>
      <w:r w:rsidR="005D19C6">
        <w:rPr>
          <w:sz w:val="20"/>
          <w:szCs w:val="20"/>
          <w:vertAlign w:val="superscript"/>
        </w:rPr>
        <w:t>,</w:t>
      </w:r>
      <w:r w:rsidR="005D19C6" w:rsidRPr="005D19C6">
        <w:rPr>
          <w:sz w:val="20"/>
          <w:szCs w:val="20"/>
          <w:vertAlign w:val="superscript"/>
        </w:rPr>
        <w:t>10</w:t>
      </w:r>
      <w:r w:rsidR="005D19C6">
        <w:t xml:space="preserve"> </w:t>
      </w:r>
    </w:p>
    <w:p w14:paraId="3BCEDC9E" w14:textId="77777777" w:rsidR="005D19C6" w:rsidRDefault="005D19C6" w:rsidP="001E5339">
      <w:pPr>
        <w:jc w:val="both"/>
      </w:pPr>
    </w:p>
    <w:p w14:paraId="09F27ABC" w14:textId="4238021F" w:rsidR="00E37675" w:rsidRDefault="00DD01AB" w:rsidP="001E5339">
      <w:pPr>
        <w:jc w:val="both"/>
      </w:pPr>
      <w:r>
        <w:t>O</w:t>
      </w:r>
      <w:r w:rsidR="0037417C">
        <w:t>ncological</w:t>
      </w:r>
      <w:r w:rsidR="001D2A6F">
        <w:t xml:space="preserve"> </w:t>
      </w:r>
      <w:r w:rsidR="0037417C">
        <w:t>concern</w:t>
      </w:r>
      <w:r>
        <w:t xml:space="preserve">s have </w:t>
      </w:r>
      <w:r w:rsidR="00FA7311">
        <w:t xml:space="preserve">also </w:t>
      </w:r>
      <w:r>
        <w:t>included the</w:t>
      </w:r>
      <w:r w:rsidR="001D2A6F">
        <w:t xml:space="preserve"> </w:t>
      </w:r>
      <w:r>
        <w:t xml:space="preserve">possibility that </w:t>
      </w:r>
      <w:r w:rsidR="0003633E">
        <w:t xml:space="preserve">the </w:t>
      </w:r>
      <w:r w:rsidR="001D2A6F">
        <w:t>reconstructed breast mound</w:t>
      </w:r>
      <w:r>
        <w:t xml:space="preserve"> may interfere</w:t>
      </w:r>
      <w:r w:rsidR="001D2A6F">
        <w:t xml:space="preserve"> with targeting of radiotherapy. </w:t>
      </w:r>
      <w:r w:rsidR="00FA7311">
        <w:t xml:space="preserve">This is less likely with </w:t>
      </w:r>
      <w:r w:rsidR="00092D0C">
        <w:t>a subpectoral</w:t>
      </w:r>
      <w:r w:rsidR="001D2A6F">
        <w:t xml:space="preserve"> implant, the pectoralis</w:t>
      </w:r>
      <w:r>
        <w:t xml:space="preserve"> major </w:t>
      </w:r>
      <w:r w:rsidR="001D2A6F">
        <w:t xml:space="preserve">is superficial to the reconstruction and tangential beams of radiation are </w:t>
      </w:r>
      <w:r w:rsidR="00FA7311">
        <w:t>easily</w:t>
      </w:r>
      <w:r w:rsidR="001D2A6F">
        <w:t xml:space="preserve"> targeted. When </w:t>
      </w:r>
      <w:r w:rsidR="00E37675">
        <w:t>autologous</w:t>
      </w:r>
      <w:r w:rsidR="001D2A6F">
        <w:t xml:space="preserve"> flaps are employed, pectoralis major </w:t>
      </w:r>
      <w:r w:rsidR="00E37675">
        <w:t xml:space="preserve">may </w:t>
      </w:r>
      <w:r>
        <w:t>be deep</w:t>
      </w:r>
      <w:r w:rsidR="001D2A6F">
        <w:t xml:space="preserve"> to the </w:t>
      </w:r>
      <w:r w:rsidR="00FA7311">
        <w:t>flap and implant</w:t>
      </w:r>
      <w:r w:rsidR="001D2A6F">
        <w:t xml:space="preserve"> </w:t>
      </w:r>
      <w:r w:rsidR="00FA7311">
        <w:t xml:space="preserve">and so </w:t>
      </w:r>
      <w:proofErr w:type="gramStart"/>
      <w:r w:rsidR="00FA7311">
        <w:t xml:space="preserve">could </w:t>
      </w:r>
      <w:r w:rsidR="001D2A6F">
        <w:t xml:space="preserve"> potentially</w:t>
      </w:r>
      <w:proofErr w:type="gramEnd"/>
      <w:r w:rsidR="001D2A6F">
        <w:t xml:space="preserve"> affect the efficacy of </w:t>
      </w:r>
      <w:r w:rsidR="001072D8">
        <w:t xml:space="preserve">radiotherapy </w:t>
      </w:r>
      <w:r w:rsidR="00FA7311">
        <w:t>on</w:t>
      </w:r>
      <w:r w:rsidR="001D2A6F">
        <w:t xml:space="preserve"> </w:t>
      </w:r>
      <w:r>
        <w:t>residual disease in</w:t>
      </w:r>
      <w:r w:rsidR="0003633E">
        <w:t xml:space="preserve"> pectoral</w:t>
      </w:r>
      <w:r w:rsidR="001D2A6F">
        <w:t xml:space="preserve"> muscle.</w:t>
      </w:r>
      <w:r w:rsidR="005D19C6">
        <w:rPr>
          <w:sz w:val="20"/>
          <w:vertAlign w:val="superscript"/>
        </w:rPr>
        <w:t>11</w:t>
      </w:r>
      <w:r w:rsidR="001D2A6F">
        <w:t xml:space="preserve"> </w:t>
      </w:r>
      <w:r w:rsidR="00E37675">
        <w:t>Current advances in radiation delivery ha</w:t>
      </w:r>
      <w:r>
        <w:t>ve</w:t>
      </w:r>
      <w:r w:rsidR="00E37675">
        <w:t xml:space="preserve"> minimised th</w:t>
      </w:r>
      <w:r w:rsidR="00FA7311">
        <w:t>is</w:t>
      </w:r>
      <w:r w:rsidR="00E37675">
        <w:t xml:space="preserve"> effect of IBR on radiation efficacy.</w:t>
      </w:r>
    </w:p>
    <w:p w14:paraId="365B3B5D" w14:textId="77777777" w:rsidR="00382772" w:rsidRDefault="00382772" w:rsidP="001E5339">
      <w:pPr>
        <w:jc w:val="both"/>
      </w:pPr>
    </w:p>
    <w:p w14:paraId="65013A0C" w14:textId="77777777" w:rsidR="00E37675" w:rsidRDefault="0049143D" w:rsidP="001E5339">
      <w:pPr>
        <w:jc w:val="both"/>
      </w:pPr>
      <w:r>
        <w:t>Studies have also examined</w:t>
      </w:r>
      <w:r w:rsidR="00C703AB">
        <w:t xml:space="preserve"> the </w:t>
      </w:r>
      <w:r w:rsidR="0037417C">
        <w:t xml:space="preserve">aesthetic </w:t>
      </w:r>
      <w:r w:rsidR="00C703AB">
        <w:t xml:space="preserve">outcome of </w:t>
      </w:r>
      <w:r>
        <w:t xml:space="preserve">IBR </w:t>
      </w:r>
      <w:r w:rsidR="00FA7311">
        <w:t>following adjuvant</w:t>
      </w:r>
      <w:r w:rsidR="00C703AB">
        <w:t xml:space="preserve"> radiotherapy </w:t>
      </w:r>
      <w:r>
        <w:t>I</w:t>
      </w:r>
      <w:r w:rsidR="00E37675">
        <w:t xml:space="preserve">t is generally </w:t>
      </w:r>
      <w:r w:rsidR="0003633E">
        <w:t>considered</w:t>
      </w:r>
      <w:r w:rsidR="00E37675">
        <w:t xml:space="preserve"> that morbidity is increased and aesthetic outcome adversely affected, </w:t>
      </w:r>
      <w:r>
        <w:t>with outcomes</w:t>
      </w:r>
      <w:r w:rsidR="00E37675">
        <w:t xml:space="preserve"> </w:t>
      </w:r>
      <w:r>
        <w:t>being influenced</w:t>
      </w:r>
      <w:r w:rsidR="00E37675">
        <w:t xml:space="preserve"> by the specific type of reconstruction.</w:t>
      </w:r>
      <w:r w:rsidR="005D19C6">
        <w:rPr>
          <w:sz w:val="20"/>
          <w:vertAlign w:val="superscript"/>
        </w:rPr>
        <w:t>11</w:t>
      </w:r>
      <w:r w:rsidR="00E37675">
        <w:t xml:space="preserve"> When prosthetic devices are used </w:t>
      </w:r>
      <w:r w:rsidR="00FA7311">
        <w:t xml:space="preserve">prior to RT </w:t>
      </w:r>
      <w:r w:rsidR="00E37675">
        <w:t xml:space="preserve">morbidity includes capsular </w:t>
      </w:r>
      <w:r>
        <w:t>contracture, pain</w:t>
      </w:r>
      <w:r w:rsidR="00E37675">
        <w:t xml:space="preserve">, </w:t>
      </w:r>
      <w:r>
        <w:t>infection, interstitial</w:t>
      </w:r>
      <w:r w:rsidR="00E37675">
        <w:t xml:space="preserve"> fibrosis and breast asymmetry. Autologous flaps can </w:t>
      </w:r>
      <w:r>
        <w:t xml:space="preserve">develop fat necrosis and </w:t>
      </w:r>
      <w:r w:rsidR="00E37675">
        <w:t xml:space="preserve">flap shrinkage </w:t>
      </w:r>
      <w:r>
        <w:t>resulting in</w:t>
      </w:r>
      <w:r w:rsidR="00E37675">
        <w:t xml:space="preserve"> breast</w:t>
      </w:r>
      <w:r w:rsidR="00A12CD6">
        <w:t xml:space="preserve"> as</w:t>
      </w:r>
      <w:r w:rsidR="00E37675">
        <w:t>ymmetry.</w:t>
      </w:r>
      <w:r w:rsidR="00E37675" w:rsidRPr="000C6BEF">
        <w:rPr>
          <w:sz w:val="20"/>
          <w:vertAlign w:val="superscript"/>
        </w:rPr>
        <w:t>1</w:t>
      </w:r>
      <w:r w:rsidR="005D19C6">
        <w:rPr>
          <w:sz w:val="20"/>
          <w:vertAlign w:val="superscript"/>
        </w:rPr>
        <w:t>2,11,5</w:t>
      </w:r>
      <w:r w:rsidR="00E37675">
        <w:t xml:space="preserve"> </w:t>
      </w:r>
    </w:p>
    <w:p w14:paraId="7B1CC156" w14:textId="77777777" w:rsidR="002F796B" w:rsidRDefault="002F796B" w:rsidP="001E5339">
      <w:pPr>
        <w:jc w:val="both"/>
      </w:pPr>
    </w:p>
    <w:p w14:paraId="1931FE6D" w14:textId="77777777" w:rsidR="00EA0ECF" w:rsidRDefault="000C0223" w:rsidP="001E5339">
      <w:pPr>
        <w:jc w:val="both"/>
      </w:pPr>
      <w:r>
        <w:t>The a</w:t>
      </w:r>
      <w:r w:rsidR="001B7375" w:rsidRPr="000C0223">
        <w:t xml:space="preserve">im </w:t>
      </w:r>
      <w:r w:rsidRPr="000C0223">
        <w:t xml:space="preserve">of </w:t>
      </w:r>
      <w:r w:rsidR="002C1B99">
        <w:t>this</w:t>
      </w:r>
      <w:r>
        <w:t xml:space="preserve"> s</w:t>
      </w:r>
      <w:r w:rsidR="001B7375" w:rsidRPr="000C0223">
        <w:t>tudy</w:t>
      </w:r>
      <w:r>
        <w:t xml:space="preserve"> </w:t>
      </w:r>
      <w:r w:rsidR="0003633E">
        <w:t>i</w:t>
      </w:r>
      <w:r>
        <w:t>s t</w:t>
      </w:r>
      <w:r w:rsidR="001B7375" w:rsidRPr="001B7375">
        <w:t>o assess the impact of IBR</w:t>
      </w:r>
      <w:r w:rsidR="002C1B99">
        <w:t xml:space="preserve"> </w:t>
      </w:r>
      <w:r w:rsidR="001B7375" w:rsidRPr="001B7375">
        <w:t>on local recurrence (LR)</w:t>
      </w:r>
      <w:r w:rsidR="00927EF5">
        <w:t>,</w:t>
      </w:r>
      <w:r w:rsidR="001B7375" w:rsidRPr="001B7375">
        <w:t xml:space="preserve"> distant metastasis (DM</w:t>
      </w:r>
      <w:r w:rsidR="00972F6C" w:rsidRPr="001B7375">
        <w:t>)</w:t>
      </w:r>
      <w:r w:rsidR="00972F6C">
        <w:t xml:space="preserve"> and</w:t>
      </w:r>
      <w:r w:rsidR="00A97128">
        <w:t xml:space="preserve"> </w:t>
      </w:r>
      <w:r w:rsidR="002C1B99">
        <w:t xml:space="preserve">overall </w:t>
      </w:r>
      <w:r w:rsidR="00A97128">
        <w:t>survival</w:t>
      </w:r>
      <w:r w:rsidR="001B7375" w:rsidRPr="001B7375">
        <w:t xml:space="preserve"> in a consecutive series of patients requiring treatment for invasive breast cancer</w:t>
      </w:r>
      <w:r w:rsidR="00B628B8">
        <w:t>.</w:t>
      </w:r>
      <w:r>
        <w:t xml:space="preserve"> To mitigate against any </w:t>
      </w:r>
      <w:r w:rsidR="002C1B99">
        <w:t xml:space="preserve">prognostic </w:t>
      </w:r>
      <w:r w:rsidR="00092D0C">
        <w:t>bias in</w:t>
      </w:r>
      <w:r>
        <w:t xml:space="preserve"> the selection of patients for IBR we </w:t>
      </w:r>
      <w:r w:rsidR="00FA7311">
        <w:t xml:space="preserve">have </w:t>
      </w:r>
      <w:r w:rsidR="002C1B99">
        <w:t xml:space="preserve">also </w:t>
      </w:r>
      <w:r>
        <w:t xml:space="preserve">compared results within Nottingham Prognostic </w:t>
      </w:r>
      <w:r w:rsidR="002C1B99">
        <w:t>group</w:t>
      </w:r>
      <w:r w:rsidR="00FA7311">
        <w:t>ings</w:t>
      </w:r>
      <w:r w:rsidR="0003633E">
        <w:t>.</w:t>
      </w:r>
    </w:p>
    <w:p w14:paraId="2DFA4A94" w14:textId="77777777" w:rsidR="001B7375" w:rsidRPr="001B7375" w:rsidRDefault="001B7375" w:rsidP="001E5339">
      <w:pPr>
        <w:jc w:val="both"/>
      </w:pPr>
      <w:r>
        <w:t>.</w:t>
      </w:r>
    </w:p>
    <w:p w14:paraId="760BE555" w14:textId="77777777" w:rsidR="001B7375" w:rsidRDefault="001B7375" w:rsidP="001E5339">
      <w:pPr>
        <w:jc w:val="both"/>
        <w:rPr>
          <w:b/>
        </w:rPr>
      </w:pPr>
      <w:r w:rsidRPr="001B7375">
        <w:rPr>
          <w:b/>
        </w:rPr>
        <w:t>Patients and methods</w:t>
      </w:r>
    </w:p>
    <w:p w14:paraId="4169D85A" w14:textId="77777777" w:rsidR="00EA0ECF" w:rsidRDefault="00EA0ECF" w:rsidP="001E5339">
      <w:pPr>
        <w:jc w:val="both"/>
        <w:rPr>
          <w:b/>
        </w:rPr>
      </w:pPr>
    </w:p>
    <w:p w14:paraId="149DD2E2" w14:textId="77777777" w:rsidR="00972F6C" w:rsidRDefault="00C17305" w:rsidP="001E5339">
      <w:pPr>
        <w:jc w:val="both"/>
      </w:pPr>
      <w:r w:rsidRPr="00C17305">
        <w:t>Th</w:t>
      </w:r>
      <w:r w:rsidR="0003633E">
        <w:t>e</w:t>
      </w:r>
      <w:r w:rsidR="0096396B">
        <w:t xml:space="preserve"> </w:t>
      </w:r>
      <w:r>
        <w:t xml:space="preserve">study </w:t>
      </w:r>
      <w:r w:rsidR="0096396B">
        <w:t xml:space="preserve">population is derived from </w:t>
      </w:r>
      <w:r>
        <w:t xml:space="preserve">a consecutive series of </w:t>
      </w:r>
      <w:r w:rsidR="00A97128">
        <w:t>1697</w:t>
      </w:r>
      <w:r>
        <w:t xml:space="preserve"> patients who received </w:t>
      </w:r>
      <w:r w:rsidR="0003633E">
        <w:t>surgery</w:t>
      </w:r>
      <w:r>
        <w:t xml:space="preserve"> for primary invasive breast cancer at the North Cumbria Breast Unit, </w:t>
      </w:r>
      <w:smartTag w:uri="urn:schemas-microsoft-com:office:smarttags" w:element="place">
        <w:smartTag w:uri="urn:schemas-microsoft-com:office:smarttags" w:element="City">
          <w:r>
            <w:t>Carlisle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 between 1</w:t>
      </w:r>
      <w:r w:rsidR="00461A2C">
        <w:t>st</w:t>
      </w:r>
      <w:r>
        <w:t xml:space="preserve"> January 1996 and </w:t>
      </w:r>
      <w:r w:rsidR="00A97128">
        <w:t>31</w:t>
      </w:r>
      <w:r w:rsidR="00461A2C">
        <w:t>st</w:t>
      </w:r>
      <w:r>
        <w:t xml:space="preserve"> </w:t>
      </w:r>
      <w:r w:rsidR="00A97128">
        <w:t xml:space="preserve">December </w:t>
      </w:r>
      <w:r>
        <w:t>200</w:t>
      </w:r>
      <w:r w:rsidR="00A97128">
        <w:t>7</w:t>
      </w:r>
      <w:r>
        <w:t xml:space="preserve">. </w:t>
      </w:r>
      <w:r w:rsidR="007A17C9">
        <w:t xml:space="preserve">Patients who </w:t>
      </w:r>
      <w:r w:rsidR="00A97128">
        <w:t>received</w:t>
      </w:r>
      <w:r w:rsidR="007A17C9">
        <w:t xml:space="preserve"> neoadjuvant chemotherapy and </w:t>
      </w:r>
      <w:r w:rsidR="00114B0F">
        <w:t xml:space="preserve">neoadjuvant </w:t>
      </w:r>
      <w:r w:rsidR="007A17C9">
        <w:t>endocrine treatment were excluded.</w:t>
      </w:r>
      <w:r w:rsidR="00EA0ECF">
        <w:t xml:space="preserve"> </w:t>
      </w:r>
      <w:r w:rsidR="0003633E">
        <w:t>1006(59%) received breast conservation</w:t>
      </w:r>
      <w:r w:rsidR="000E0517">
        <w:t>.</w:t>
      </w:r>
      <w:r w:rsidR="0003633E">
        <w:t xml:space="preserve"> </w:t>
      </w:r>
      <w:r w:rsidR="00A97128">
        <w:t>691</w:t>
      </w:r>
      <w:r>
        <w:t xml:space="preserve"> (4</w:t>
      </w:r>
      <w:r w:rsidR="00A97128">
        <w:t>1</w:t>
      </w:r>
      <w:r>
        <w:t xml:space="preserve">%) </w:t>
      </w:r>
      <w:r w:rsidR="00C45560">
        <w:t>underwent</w:t>
      </w:r>
      <w:r>
        <w:t xml:space="preserve"> mastectomy.</w:t>
      </w:r>
      <w:r w:rsidR="00083A63">
        <w:t xml:space="preserve"> </w:t>
      </w:r>
      <w:r w:rsidR="00EA0ECF">
        <w:t xml:space="preserve">Of the mastectomy group </w:t>
      </w:r>
      <w:r w:rsidR="00A97128">
        <w:t>555</w:t>
      </w:r>
      <w:r w:rsidR="00083A63">
        <w:t>(</w:t>
      </w:r>
      <w:r w:rsidR="00A97128">
        <w:t>80</w:t>
      </w:r>
      <w:r w:rsidR="00083A63">
        <w:t xml:space="preserve">%) </w:t>
      </w:r>
      <w:r w:rsidR="00B628B8">
        <w:t>had</w:t>
      </w:r>
      <w:r w:rsidR="00083A63">
        <w:t xml:space="preserve"> mastectomy alone. 1</w:t>
      </w:r>
      <w:r w:rsidR="00A97128">
        <w:t>36</w:t>
      </w:r>
      <w:r w:rsidR="00083A63">
        <w:t xml:space="preserve">(21%) patients </w:t>
      </w:r>
      <w:r w:rsidR="00B628B8">
        <w:t>received</w:t>
      </w:r>
      <w:r w:rsidR="00083A63">
        <w:t xml:space="preserve"> IBR of which </w:t>
      </w:r>
      <w:r w:rsidR="00A97128">
        <w:t>82</w:t>
      </w:r>
      <w:r w:rsidR="00083A63">
        <w:t>(</w:t>
      </w:r>
      <w:r w:rsidR="00972F6C">
        <w:t>60</w:t>
      </w:r>
      <w:r w:rsidR="00083A63">
        <w:t xml:space="preserve">%) </w:t>
      </w:r>
      <w:r w:rsidR="00B628B8">
        <w:t>had</w:t>
      </w:r>
      <w:r w:rsidR="00083A63">
        <w:t xml:space="preserve"> reconstruction employing Latissimus </w:t>
      </w:r>
      <w:r w:rsidR="000E0517">
        <w:t>D</w:t>
      </w:r>
      <w:r w:rsidR="00083A63">
        <w:t>orsi myocutaneus flap and 5</w:t>
      </w:r>
      <w:r w:rsidR="00A97128">
        <w:t>4</w:t>
      </w:r>
      <w:r w:rsidR="00083A63">
        <w:t>(</w:t>
      </w:r>
      <w:r w:rsidR="00972F6C">
        <w:t>40</w:t>
      </w:r>
      <w:r w:rsidR="00083A63">
        <w:t xml:space="preserve">%) </w:t>
      </w:r>
      <w:r w:rsidR="00B628B8">
        <w:t>had</w:t>
      </w:r>
      <w:r w:rsidR="00083A63">
        <w:t xml:space="preserve"> </w:t>
      </w:r>
      <w:r w:rsidR="001431A4">
        <w:t>s</w:t>
      </w:r>
      <w:r w:rsidR="00083A63">
        <w:t>ubpectoral implant</w:t>
      </w:r>
      <w:r w:rsidR="000E0517">
        <w:t xml:space="preserve"> alone</w:t>
      </w:r>
      <w:r w:rsidR="008E19A0">
        <w:t>.</w:t>
      </w:r>
      <w:r w:rsidR="00083A63">
        <w:t xml:space="preserve"> </w:t>
      </w:r>
    </w:p>
    <w:p w14:paraId="05AFE7F2" w14:textId="77777777" w:rsidR="00972F6C" w:rsidRDefault="00972F6C" w:rsidP="001E5339">
      <w:pPr>
        <w:jc w:val="both"/>
      </w:pPr>
    </w:p>
    <w:p w14:paraId="4861D919" w14:textId="3BB57162" w:rsidR="00F90C45" w:rsidRDefault="000E0517" w:rsidP="001E5339">
      <w:pPr>
        <w:jc w:val="both"/>
      </w:pPr>
      <w:r>
        <w:t xml:space="preserve">Only patients presenting below age 75 were included in the analysis of survival and recurrence leaving </w:t>
      </w:r>
      <w:r w:rsidR="00A00ED6">
        <w:t>135</w:t>
      </w:r>
      <w:r w:rsidR="004F02A5">
        <w:t xml:space="preserve"> </w:t>
      </w:r>
      <w:r w:rsidR="00A00ED6">
        <w:t>in the IBR group (</w:t>
      </w:r>
      <w:r w:rsidR="00F622F7">
        <w:t xml:space="preserve">Group A) and </w:t>
      </w:r>
      <w:r w:rsidR="00A00ED6">
        <w:t xml:space="preserve">452 </w:t>
      </w:r>
      <w:r w:rsidR="00A00ED6" w:rsidRPr="00A00ED6">
        <w:t>in</w:t>
      </w:r>
      <w:r w:rsidR="00A00ED6">
        <w:t xml:space="preserve"> the mastectomy alone group</w:t>
      </w:r>
      <w:r w:rsidR="00F622F7">
        <w:t xml:space="preserve"> (GroupB</w:t>
      </w:r>
      <w:proofErr w:type="gramStart"/>
      <w:r w:rsidR="00F622F7">
        <w:t>).</w:t>
      </w:r>
      <w:r w:rsidR="00B628B8">
        <w:t>The</w:t>
      </w:r>
      <w:proofErr w:type="gramEnd"/>
      <w:r w:rsidR="00B628B8">
        <w:t xml:space="preserve"> axilla was staged in all patients</w:t>
      </w:r>
      <w:r w:rsidR="00972F6C">
        <w:t xml:space="preserve"> and </w:t>
      </w:r>
      <w:r w:rsidR="008E19A0">
        <w:t xml:space="preserve">lymph </w:t>
      </w:r>
      <w:r w:rsidR="00972F6C">
        <w:t>n</w:t>
      </w:r>
      <w:r w:rsidR="00083A63" w:rsidRPr="00083A63">
        <w:t xml:space="preserve">ode positive patients </w:t>
      </w:r>
      <w:r w:rsidR="008E19A0">
        <w:t>received</w:t>
      </w:r>
      <w:r w:rsidR="00083A63" w:rsidRPr="00083A63">
        <w:t xml:space="preserve"> clearance</w:t>
      </w:r>
      <w:r w:rsidR="00083A63">
        <w:t xml:space="preserve"> or </w:t>
      </w:r>
      <w:r w:rsidR="001072D8">
        <w:t xml:space="preserve">radiotherapy </w:t>
      </w:r>
      <w:r w:rsidR="00083A63" w:rsidRPr="00083A63">
        <w:t>to the axilla</w:t>
      </w:r>
      <w:r w:rsidR="00083A63">
        <w:t xml:space="preserve">. </w:t>
      </w:r>
      <w:r>
        <w:t xml:space="preserve">Post mastectomy </w:t>
      </w:r>
      <w:r w:rsidR="001072D8">
        <w:t xml:space="preserve">radiotherapy </w:t>
      </w:r>
      <w:r w:rsidR="00FA7311">
        <w:t xml:space="preserve">and adjuvant systemic treatments </w:t>
      </w:r>
      <w:r>
        <w:t>w</w:t>
      </w:r>
      <w:r w:rsidR="00FA7311">
        <w:t>ere</w:t>
      </w:r>
      <w:r>
        <w:t xml:space="preserve"> employed as per local protocol</w:t>
      </w:r>
      <w:r w:rsidR="00FA7311">
        <w:t>s</w:t>
      </w:r>
      <w:r w:rsidR="00083A63">
        <w:t>.</w:t>
      </w:r>
      <w:r w:rsidR="007A17C9">
        <w:t xml:space="preserve"> </w:t>
      </w:r>
      <w:r w:rsidR="00F21956">
        <w:t>P</w:t>
      </w:r>
      <w:r w:rsidR="007A17C9">
        <w:t>atients were reviewed i</w:t>
      </w:r>
      <w:r w:rsidR="007A17C9" w:rsidRPr="007A17C9">
        <w:t xml:space="preserve">n </w:t>
      </w:r>
      <w:r w:rsidR="00927EF5" w:rsidRPr="007A17C9">
        <w:t>designated follow</w:t>
      </w:r>
      <w:r w:rsidR="007A17C9" w:rsidRPr="007A17C9">
        <w:t xml:space="preserve"> up clinics 3 monthly</w:t>
      </w:r>
      <w:r w:rsidR="007A17C9">
        <w:t xml:space="preserve"> </w:t>
      </w:r>
      <w:r w:rsidR="00F21956">
        <w:t>for</w:t>
      </w:r>
      <w:r w:rsidR="007A17C9">
        <w:t xml:space="preserve"> the </w:t>
      </w:r>
      <w:r w:rsidR="007A17C9" w:rsidRPr="007A17C9">
        <w:t>first year,</w:t>
      </w:r>
      <w:r w:rsidR="007A17C9">
        <w:t xml:space="preserve"> </w:t>
      </w:r>
      <w:r w:rsidR="007A17C9" w:rsidRPr="007A17C9">
        <w:t>6 monthly</w:t>
      </w:r>
      <w:r w:rsidR="007A17C9">
        <w:t xml:space="preserve"> </w:t>
      </w:r>
      <w:r w:rsidR="00F21956">
        <w:t>for</w:t>
      </w:r>
      <w:r w:rsidR="007A17C9">
        <w:t xml:space="preserve"> the secon</w:t>
      </w:r>
      <w:r w:rsidR="007A17C9" w:rsidRPr="007A17C9">
        <w:t>d year</w:t>
      </w:r>
      <w:r w:rsidR="007A17C9">
        <w:t xml:space="preserve"> </w:t>
      </w:r>
      <w:r w:rsidR="00EA0ECF">
        <w:t xml:space="preserve">and </w:t>
      </w:r>
      <w:r w:rsidR="007A17C9" w:rsidRPr="007A17C9">
        <w:t>annually thereafter</w:t>
      </w:r>
      <w:r w:rsidR="007A17C9">
        <w:t xml:space="preserve">. </w:t>
      </w:r>
      <w:r w:rsidR="007A17C9" w:rsidRPr="007A17C9">
        <w:t>Time to local</w:t>
      </w:r>
      <w:r w:rsidR="00F21956">
        <w:t xml:space="preserve"> /</w:t>
      </w:r>
      <w:r w:rsidR="007A17C9" w:rsidRPr="007A17C9">
        <w:t xml:space="preserve"> regional </w:t>
      </w:r>
      <w:r w:rsidR="00F21956">
        <w:t xml:space="preserve">recurrence </w:t>
      </w:r>
      <w:r w:rsidR="007A17C9" w:rsidRPr="007A17C9">
        <w:t xml:space="preserve">and distant metastasis was recorded prospectively on </w:t>
      </w:r>
      <w:r w:rsidR="00F21956">
        <w:t xml:space="preserve">a computerised </w:t>
      </w:r>
      <w:r w:rsidR="00F21956" w:rsidRPr="007A17C9">
        <w:t>database</w:t>
      </w:r>
      <w:r w:rsidR="007A17C9" w:rsidRPr="007A17C9">
        <w:t xml:space="preserve"> as was overall survival.</w:t>
      </w:r>
      <w:r w:rsidR="007A17C9">
        <w:t xml:space="preserve"> Patients received a</w:t>
      </w:r>
      <w:r w:rsidR="007A17C9" w:rsidRPr="007A17C9">
        <w:t xml:space="preserve">nnual contra-lateral mammograms for 10 years. </w:t>
      </w:r>
      <w:r w:rsidR="001E12D1">
        <w:t xml:space="preserve">During follow up staging investigations were carried out based on symptoms </w:t>
      </w:r>
      <w:r w:rsidR="00F21956">
        <w:t>alone</w:t>
      </w:r>
      <w:r w:rsidR="001E12D1">
        <w:t>.</w:t>
      </w:r>
    </w:p>
    <w:p w14:paraId="6CD27809" w14:textId="77777777" w:rsidR="00BE770F" w:rsidRDefault="00BE770F" w:rsidP="001E5339">
      <w:pPr>
        <w:jc w:val="both"/>
      </w:pPr>
    </w:p>
    <w:p w14:paraId="6153D6F2" w14:textId="77777777" w:rsidR="00AA5955" w:rsidRDefault="00AA5955" w:rsidP="001E5339">
      <w:pPr>
        <w:jc w:val="both"/>
        <w:rPr>
          <w:b/>
        </w:rPr>
      </w:pPr>
    </w:p>
    <w:p w14:paraId="6869EE7C" w14:textId="77777777" w:rsidR="00BE770F" w:rsidRDefault="00BE770F" w:rsidP="001E5339">
      <w:pPr>
        <w:jc w:val="both"/>
        <w:rPr>
          <w:b/>
        </w:rPr>
      </w:pPr>
      <w:r w:rsidRPr="00BE770F">
        <w:rPr>
          <w:b/>
        </w:rPr>
        <w:t>Statistical Analysis</w:t>
      </w:r>
    </w:p>
    <w:p w14:paraId="42EEEC74" w14:textId="77777777" w:rsidR="00BE770F" w:rsidRDefault="00BE770F" w:rsidP="001E5339">
      <w:pPr>
        <w:jc w:val="both"/>
        <w:rPr>
          <w:b/>
        </w:rPr>
      </w:pPr>
    </w:p>
    <w:p w14:paraId="62F1FD13" w14:textId="77777777" w:rsidR="000C0223" w:rsidRDefault="00BE770F" w:rsidP="001E5339">
      <w:pPr>
        <w:jc w:val="both"/>
        <w:rPr>
          <w:color w:val="000000"/>
          <w:lang w:val="en"/>
        </w:rPr>
      </w:pPr>
      <w:r>
        <w:t>The following outcome</w:t>
      </w:r>
      <w:r w:rsidR="00A00ED6">
        <w:t>s</w:t>
      </w:r>
      <w:r>
        <w:t xml:space="preserve"> were recorded for </w:t>
      </w:r>
      <w:r w:rsidR="00FA7311">
        <w:t>all</w:t>
      </w:r>
      <w:r>
        <w:t xml:space="preserve"> patients: local recurrence, distant metastases and survival.</w:t>
      </w:r>
      <w:r w:rsidRPr="00096F79">
        <w:t xml:space="preserve"> The</w:t>
      </w:r>
      <w:r w:rsidR="00A00ED6">
        <w:t>se</w:t>
      </w:r>
      <w:r w:rsidRPr="00096F79">
        <w:t xml:space="preserve"> </w:t>
      </w:r>
      <w:r w:rsidR="00A00ED6">
        <w:t>data</w:t>
      </w:r>
      <w:r w:rsidR="008925AB">
        <w:t xml:space="preserve"> w</w:t>
      </w:r>
      <w:r w:rsidR="00A00ED6">
        <w:t>ere</w:t>
      </w:r>
      <w:r w:rsidRPr="00096F79">
        <w:t xml:space="preserve"> analysed </w:t>
      </w:r>
      <w:r w:rsidR="00E75B57">
        <w:t>for all patients and separately with</w:t>
      </w:r>
      <w:r w:rsidR="00927EF5">
        <w:t>in</w:t>
      </w:r>
      <w:r w:rsidR="00E75B57">
        <w:t xml:space="preserve"> patient groupings </w:t>
      </w:r>
      <w:r w:rsidR="008925AB">
        <w:t xml:space="preserve">based on </w:t>
      </w:r>
      <w:r w:rsidR="008925AB" w:rsidRPr="00096F79">
        <w:t>the</w:t>
      </w:r>
      <w:r w:rsidRPr="00096F79">
        <w:t xml:space="preserve"> Nottingham Prognostic Index</w:t>
      </w:r>
      <w:r w:rsidR="00E75B57" w:rsidRPr="00096F79">
        <w:t xml:space="preserve"> </w:t>
      </w:r>
      <w:r w:rsidRPr="00096F79">
        <w:t>(NPI)</w:t>
      </w:r>
      <w:r w:rsidR="00E75B57">
        <w:t xml:space="preserve"> scores</w:t>
      </w:r>
      <w:r w:rsidRPr="00096F79">
        <w:t xml:space="preserve">. </w:t>
      </w:r>
      <w:r>
        <w:t xml:space="preserve">The NPI scores </w:t>
      </w:r>
      <w:r w:rsidR="00E75B57">
        <w:t>we</w:t>
      </w:r>
      <w:r>
        <w:t xml:space="preserve">re categorised into </w:t>
      </w:r>
      <w:r w:rsidRPr="00096F79">
        <w:t>NPI ‘good</w:t>
      </w:r>
      <w:r w:rsidR="0051612B">
        <w:t xml:space="preserve"> group</w:t>
      </w:r>
      <w:r w:rsidRPr="00096F79">
        <w:t xml:space="preserve">’ </w:t>
      </w:r>
      <w:r>
        <w:t>(</w:t>
      </w:r>
      <w:r w:rsidRPr="00096F79">
        <w:rPr>
          <w:color w:val="000000"/>
          <w:lang w:val="en"/>
        </w:rPr>
        <w:t>a score of less than 3.4</w:t>
      </w:r>
      <w:r>
        <w:rPr>
          <w:color w:val="000000"/>
          <w:lang w:val="en"/>
        </w:rPr>
        <w:t>), NPI ‘moderate</w:t>
      </w:r>
      <w:r w:rsidR="0051612B">
        <w:rPr>
          <w:color w:val="000000"/>
          <w:lang w:val="en"/>
        </w:rPr>
        <w:t xml:space="preserve"> group</w:t>
      </w:r>
      <w:r>
        <w:rPr>
          <w:color w:val="000000"/>
          <w:lang w:val="en"/>
        </w:rPr>
        <w:t>’ (</w:t>
      </w:r>
      <w:r w:rsidRPr="00096F79">
        <w:rPr>
          <w:color w:val="000000"/>
          <w:lang w:val="en"/>
        </w:rPr>
        <w:t>3.4 to 5.4</w:t>
      </w:r>
      <w:r>
        <w:rPr>
          <w:color w:val="000000"/>
          <w:lang w:val="en"/>
        </w:rPr>
        <w:t>) and NPI ‘poor</w:t>
      </w:r>
      <w:r w:rsidR="0051612B">
        <w:rPr>
          <w:color w:val="000000"/>
          <w:lang w:val="en"/>
        </w:rPr>
        <w:t xml:space="preserve"> group</w:t>
      </w:r>
      <w:r>
        <w:rPr>
          <w:color w:val="000000"/>
          <w:lang w:val="en"/>
        </w:rPr>
        <w:t xml:space="preserve">’ (higher than </w:t>
      </w:r>
      <w:r w:rsidRPr="00096F79">
        <w:rPr>
          <w:color w:val="000000"/>
          <w:lang w:val="en"/>
        </w:rPr>
        <w:t>5.4</w:t>
      </w:r>
      <w:r>
        <w:rPr>
          <w:color w:val="000000"/>
          <w:lang w:val="en"/>
        </w:rPr>
        <w:t>)</w:t>
      </w:r>
      <w:r w:rsidRPr="00096F79">
        <w:rPr>
          <w:color w:val="000000"/>
          <w:lang w:val="en"/>
        </w:rPr>
        <w:t>.</w:t>
      </w:r>
      <w:r>
        <w:rPr>
          <w:color w:val="000000"/>
          <w:lang w:val="en"/>
        </w:rPr>
        <w:t xml:space="preserve"> Survival and recurrence analys</w:t>
      </w:r>
      <w:r w:rsidR="00927EF5">
        <w:rPr>
          <w:color w:val="000000"/>
          <w:lang w:val="en"/>
        </w:rPr>
        <w:t>i</w:t>
      </w:r>
      <w:r>
        <w:rPr>
          <w:color w:val="000000"/>
          <w:lang w:val="en"/>
        </w:rPr>
        <w:t xml:space="preserve">s were conducted using the Kaplan-Meyer method, with log rank tests for assessing statistical significance. All statistical analyses were performed using SPSS (version 15, SPSS,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"/>
            </w:rPr>
            <w:t>Woking</w:t>
          </w:r>
        </w:smartTag>
        <w:r>
          <w:rPr>
            <w:color w:val="000000"/>
            <w:lang w:val="en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"/>
            </w:rPr>
            <w:t>UK</w:t>
          </w:r>
        </w:smartTag>
      </w:smartTag>
      <w:r>
        <w:rPr>
          <w:color w:val="000000"/>
          <w:lang w:val="en"/>
        </w:rPr>
        <w:t>).</w:t>
      </w:r>
    </w:p>
    <w:p w14:paraId="7886A10F" w14:textId="77777777" w:rsidR="000C0223" w:rsidRDefault="000C0223" w:rsidP="001E5339">
      <w:pPr>
        <w:jc w:val="both"/>
        <w:rPr>
          <w:color w:val="000000"/>
          <w:lang w:val="en"/>
        </w:rPr>
      </w:pPr>
    </w:p>
    <w:p w14:paraId="5FDDB083" w14:textId="77777777" w:rsidR="00F90C45" w:rsidRDefault="007A17C9" w:rsidP="001E5339">
      <w:pPr>
        <w:jc w:val="both"/>
        <w:rPr>
          <w:b/>
        </w:rPr>
      </w:pPr>
      <w:r w:rsidRPr="007A17C9">
        <w:rPr>
          <w:b/>
        </w:rPr>
        <w:t>Results</w:t>
      </w:r>
    </w:p>
    <w:p w14:paraId="56C9795D" w14:textId="77777777" w:rsidR="00F90C45" w:rsidRDefault="00F90C45" w:rsidP="001E5339">
      <w:pPr>
        <w:jc w:val="both"/>
        <w:rPr>
          <w:b/>
        </w:rPr>
      </w:pPr>
    </w:p>
    <w:p w14:paraId="0A41D495" w14:textId="77777777" w:rsidR="00EA0ECF" w:rsidRDefault="00E66130" w:rsidP="005342B4">
      <w:pPr>
        <w:jc w:val="both"/>
      </w:pPr>
      <w:r>
        <w:t>Of the 58</w:t>
      </w:r>
      <w:r w:rsidR="00710ADE">
        <w:t>7</w:t>
      </w:r>
      <w:r w:rsidR="00516260">
        <w:t xml:space="preserve"> patients </w:t>
      </w:r>
      <w:r w:rsidR="0051612B">
        <w:t>studied</w:t>
      </w:r>
      <w:r w:rsidR="005342B4">
        <w:t>,</w:t>
      </w:r>
      <w:r w:rsidR="0051612B">
        <w:t xml:space="preserve"> </w:t>
      </w:r>
      <w:r w:rsidR="00A00ED6">
        <w:t xml:space="preserve">only </w:t>
      </w:r>
      <w:r w:rsidR="00516260">
        <w:t>8 patients (1.4</w:t>
      </w:r>
      <w:r>
        <w:t xml:space="preserve">%) </w:t>
      </w:r>
      <w:r w:rsidR="00710ADE">
        <w:t>were lost to follow up</w:t>
      </w:r>
      <w:r>
        <w:t>.</w:t>
      </w:r>
      <w:r w:rsidR="001E12D1">
        <w:t xml:space="preserve"> </w:t>
      </w:r>
      <w:r w:rsidR="00392D6C" w:rsidRPr="00392D6C">
        <w:t>Median age</w:t>
      </w:r>
      <w:r w:rsidR="00392D6C">
        <w:t xml:space="preserve"> for </w:t>
      </w:r>
      <w:r w:rsidR="00A00ED6">
        <w:t xml:space="preserve">group A was 47 </w:t>
      </w:r>
      <w:r w:rsidR="005342B4">
        <w:t>(r</w:t>
      </w:r>
      <w:r w:rsidR="00A00ED6" w:rsidRPr="00392D6C">
        <w:t>ange 23-7</w:t>
      </w:r>
      <w:r w:rsidR="00A00ED6">
        <w:t>5</w:t>
      </w:r>
      <w:r w:rsidR="00A00ED6" w:rsidRPr="00392D6C">
        <w:t>)</w:t>
      </w:r>
      <w:r w:rsidR="00A00ED6">
        <w:t xml:space="preserve"> and group </w:t>
      </w:r>
      <w:r w:rsidR="00A00ED6" w:rsidRPr="005342B4">
        <w:rPr>
          <w:highlight w:val="yellow"/>
        </w:rPr>
        <w:t>B</w:t>
      </w:r>
      <w:r w:rsidR="00A00ED6">
        <w:t xml:space="preserve"> was </w:t>
      </w:r>
      <w:r w:rsidR="00516260">
        <w:t>59</w:t>
      </w:r>
      <w:r w:rsidR="005342B4">
        <w:t xml:space="preserve"> (r</w:t>
      </w:r>
      <w:r w:rsidR="00392D6C" w:rsidRPr="00392D6C">
        <w:t>ange 28-</w:t>
      </w:r>
      <w:r w:rsidR="00516260">
        <w:t>75</w:t>
      </w:r>
      <w:r w:rsidR="00392D6C" w:rsidRPr="00392D6C">
        <w:t>)</w:t>
      </w:r>
      <w:r w:rsidR="00392D6C">
        <w:t>.</w:t>
      </w:r>
      <w:r w:rsidR="00392D6C" w:rsidRPr="00392D6C">
        <w:t xml:space="preserve"> </w:t>
      </w:r>
      <w:r w:rsidR="00392D6C">
        <w:t xml:space="preserve"> Patients were followed up for a median of </w:t>
      </w:r>
      <w:r w:rsidR="00516260">
        <w:t>55</w:t>
      </w:r>
      <w:r w:rsidR="005342B4">
        <w:t xml:space="preserve"> (r</w:t>
      </w:r>
      <w:r w:rsidR="00392D6C">
        <w:t xml:space="preserve">ange </w:t>
      </w:r>
      <w:r w:rsidR="00516260">
        <w:t>16</w:t>
      </w:r>
      <w:r w:rsidR="00392D6C">
        <w:t>-14</w:t>
      </w:r>
      <w:r w:rsidR="00516260">
        <w:t>8</w:t>
      </w:r>
      <w:r w:rsidR="00392D6C">
        <w:t>)</w:t>
      </w:r>
      <w:r w:rsidR="005D29AA" w:rsidRPr="005D29AA">
        <w:t xml:space="preserve"> </w:t>
      </w:r>
      <w:r w:rsidR="005D29AA">
        <w:t>months</w:t>
      </w:r>
      <w:r w:rsidR="00B664B0">
        <w:t xml:space="preserve">. </w:t>
      </w:r>
      <w:r w:rsidR="00174D60">
        <w:t xml:space="preserve">There was no significant difference between the </w:t>
      </w:r>
      <w:r w:rsidR="00A00ED6">
        <w:t>numbers</w:t>
      </w:r>
      <w:r w:rsidR="00174D60">
        <w:t xml:space="preserve"> of patients receiving adjuvant </w:t>
      </w:r>
      <w:r w:rsidR="00F05D68">
        <w:t>treatments in the two groups</w:t>
      </w:r>
      <w:r w:rsidR="0051612B">
        <w:t xml:space="preserve"> although a trend occurred for a lower radiotherapy rate in the IBR group</w:t>
      </w:r>
      <w:r w:rsidR="005342B4">
        <w:t xml:space="preserve"> (see</w:t>
      </w:r>
      <w:r w:rsidR="00805F8C">
        <w:t xml:space="preserve"> Table</w:t>
      </w:r>
      <w:r w:rsidR="00174D60">
        <w:t xml:space="preserve"> 1</w:t>
      </w:r>
      <w:r w:rsidR="005342B4">
        <w:t>)</w:t>
      </w:r>
      <w:r w:rsidR="00174D60">
        <w:t>.</w:t>
      </w:r>
      <w:r w:rsidR="00392D6C" w:rsidRPr="00392D6C">
        <w:t xml:space="preserve"> </w:t>
      </w:r>
    </w:p>
    <w:p w14:paraId="1A850BE8" w14:textId="77777777" w:rsidR="005342B4" w:rsidRDefault="005342B4" w:rsidP="005342B4">
      <w:pPr>
        <w:jc w:val="both"/>
      </w:pPr>
    </w:p>
    <w:p w14:paraId="7D268A76" w14:textId="77777777" w:rsidR="005342B4" w:rsidRDefault="005342B4" w:rsidP="005342B4">
      <w:pPr>
        <w:jc w:val="both"/>
      </w:pPr>
      <w:r w:rsidRPr="005342B4">
        <w:rPr>
          <w:highlight w:val="yellow"/>
        </w:rPr>
        <w:t>[</w:t>
      </w:r>
      <w:r>
        <w:rPr>
          <w:highlight w:val="yellow"/>
        </w:rPr>
        <w:t xml:space="preserve">comment for journal Editor: </w:t>
      </w:r>
      <w:r w:rsidRPr="005342B4">
        <w:rPr>
          <w:highlight w:val="yellow"/>
        </w:rPr>
        <w:t>Table 1 to be inserted here]</w:t>
      </w:r>
    </w:p>
    <w:p w14:paraId="4A9AC023" w14:textId="77777777" w:rsidR="001E5339" w:rsidRDefault="001E5339" w:rsidP="001E5339">
      <w:pPr>
        <w:ind w:firstLine="720"/>
        <w:jc w:val="both"/>
      </w:pPr>
    </w:p>
    <w:p w14:paraId="32046297" w14:textId="77777777" w:rsidR="00685C1A" w:rsidRDefault="008A5F97" w:rsidP="001E5339">
      <w:pPr>
        <w:jc w:val="both"/>
      </w:pPr>
      <w:r>
        <w:t>.</w:t>
      </w:r>
      <w:r w:rsidR="00081CE5">
        <w:t xml:space="preserve">             </w:t>
      </w:r>
    </w:p>
    <w:p w14:paraId="6D46FD04" w14:textId="6FDF3390" w:rsidR="000F6328" w:rsidRDefault="007053B1" w:rsidP="001E5339">
      <w:pPr>
        <w:jc w:val="both"/>
      </w:pPr>
      <w:r>
        <w:t xml:space="preserve">During the </w:t>
      </w:r>
      <w:proofErr w:type="gramStart"/>
      <w:r>
        <w:t>10 year</w:t>
      </w:r>
      <w:proofErr w:type="gramEnd"/>
      <w:r>
        <w:t xml:space="preserve"> study </w:t>
      </w:r>
      <w:r w:rsidR="0057537D">
        <w:t>period</w:t>
      </w:r>
      <w:r w:rsidR="006B2F84">
        <w:t xml:space="preserve"> the</w:t>
      </w:r>
      <w:r w:rsidR="00F65C5A">
        <w:t xml:space="preserve">re </w:t>
      </w:r>
      <w:r w:rsidR="001B48CF">
        <w:t>wa</w:t>
      </w:r>
      <w:r w:rsidR="00F65C5A">
        <w:t>s a gradual change in the method of IBR adopted with increasing number</w:t>
      </w:r>
      <w:r w:rsidR="0051612B">
        <w:t>s</w:t>
      </w:r>
      <w:r w:rsidR="00F65C5A">
        <w:t xml:space="preserve"> of patients </w:t>
      </w:r>
      <w:r w:rsidR="00E66130">
        <w:t>opting for</w:t>
      </w:r>
      <w:r w:rsidR="00F65C5A">
        <w:t xml:space="preserve"> </w:t>
      </w:r>
      <w:r w:rsidR="00F90C45">
        <w:t>reconstruction employing</w:t>
      </w:r>
      <w:r w:rsidR="006B2F84">
        <w:t xml:space="preserve"> autologo</w:t>
      </w:r>
      <w:r w:rsidR="00F65C5A">
        <w:t>u</w:t>
      </w:r>
      <w:r w:rsidR="006B2F84">
        <w:t>s tissues</w:t>
      </w:r>
      <w:r w:rsidR="001A12C3">
        <w:t xml:space="preserve">. </w:t>
      </w:r>
      <w:r w:rsidR="005342B4">
        <w:t>Figure 1</w:t>
      </w:r>
      <w:r w:rsidR="00F2386E">
        <w:t xml:space="preserve"> </w:t>
      </w:r>
      <w:r w:rsidR="00E66130">
        <w:t>show</w:t>
      </w:r>
      <w:r w:rsidR="005342B4">
        <w:t>s</w:t>
      </w:r>
      <w:r w:rsidR="001A12C3">
        <w:t xml:space="preserve"> the </w:t>
      </w:r>
      <w:r w:rsidR="001E12D1">
        <w:t xml:space="preserve">type </w:t>
      </w:r>
      <w:r w:rsidR="001A12C3">
        <w:t xml:space="preserve">of reconstruction </w:t>
      </w:r>
      <w:r w:rsidR="001E12D1">
        <w:t>carried out</w:t>
      </w:r>
      <w:r w:rsidR="001A12C3">
        <w:t xml:space="preserve"> in each year during the study period.</w:t>
      </w:r>
      <w:r w:rsidR="00F65C5A">
        <w:tab/>
      </w:r>
    </w:p>
    <w:p w14:paraId="57656B34" w14:textId="77777777" w:rsidR="005342B4" w:rsidRDefault="005342B4" w:rsidP="001E5339">
      <w:pPr>
        <w:jc w:val="both"/>
      </w:pPr>
    </w:p>
    <w:p w14:paraId="68CE8154" w14:textId="77777777" w:rsidR="005342B4" w:rsidRDefault="005342B4" w:rsidP="001E5339">
      <w:pPr>
        <w:jc w:val="both"/>
      </w:pPr>
      <w:r w:rsidRPr="005342B4">
        <w:rPr>
          <w:highlight w:val="yellow"/>
        </w:rPr>
        <w:t>[</w:t>
      </w:r>
      <w:r>
        <w:rPr>
          <w:highlight w:val="yellow"/>
        </w:rPr>
        <w:t xml:space="preserve">comment for journal Editor: Figure </w:t>
      </w:r>
      <w:r w:rsidRPr="005342B4">
        <w:rPr>
          <w:highlight w:val="yellow"/>
        </w:rPr>
        <w:t>1 to be inserted here]</w:t>
      </w:r>
    </w:p>
    <w:p w14:paraId="554472BE" w14:textId="77777777" w:rsidR="000F6328" w:rsidRDefault="000F6328" w:rsidP="001E5339">
      <w:pPr>
        <w:jc w:val="both"/>
      </w:pPr>
    </w:p>
    <w:p w14:paraId="3DF2CD33" w14:textId="77777777" w:rsidR="000F6328" w:rsidRDefault="000F6328" w:rsidP="001E5339">
      <w:pPr>
        <w:jc w:val="both"/>
      </w:pPr>
    </w:p>
    <w:p w14:paraId="26B6DFC4" w14:textId="77777777" w:rsidR="000F6328" w:rsidRDefault="000F6328" w:rsidP="001E5339">
      <w:pPr>
        <w:jc w:val="both"/>
      </w:pPr>
    </w:p>
    <w:p w14:paraId="50B32B8F" w14:textId="60CA1585" w:rsidR="000F6328" w:rsidRDefault="000F6328" w:rsidP="001E5339">
      <w:pPr>
        <w:jc w:val="both"/>
      </w:pPr>
    </w:p>
    <w:p w14:paraId="6790B866" w14:textId="7D8FD06D" w:rsidR="00877A28" w:rsidRDefault="00877A28" w:rsidP="001E5339">
      <w:pPr>
        <w:jc w:val="both"/>
      </w:pPr>
    </w:p>
    <w:p w14:paraId="35FF0635" w14:textId="4AB2C3A7" w:rsidR="006109CA" w:rsidRDefault="005D071E" w:rsidP="001E5339">
      <w:pPr>
        <w:jc w:val="both"/>
      </w:pPr>
      <w:r>
        <w:t>Over the study period</w:t>
      </w:r>
      <w:r w:rsidR="005342B4">
        <w:t xml:space="preserve">, </w:t>
      </w:r>
      <w:r w:rsidR="003F18B6">
        <w:t xml:space="preserve">12 patients (9%) developed local recurrence in </w:t>
      </w:r>
      <w:r w:rsidR="005342B4">
        <w:t xml:space="preserve">the IBR </w:t>
      </w:r>
      <w:r w:rsidR="006109CA">
        <w:t>group</w:t>
      </w:r>
      <w:r w:rsidR="002C7B3F">
        <w:t xml:space="preserve"> </w:t>
      </w:r>
      <w:r w:rsidR="003F18B6">
        <w:t xml:space="preserve">compared to 38 (8%) in </w:t>
      </w:r>
      <w:r w:rsidR="005342B4">
        <w:t xml:space="preserve">the mastectomy only </w:t>
      </w:r>
      <w:r w:rsidR="003F18B6">
        <w:t>group</w:t>
      </w:r>
      <w:r w:rsidR="005342B4">
        <w:t>.</w:t>
      </w:r>
      <w:r w:rsidR="00204668">
        <w:t xml:space="preserve"> </w:t>
      </w:r>
      <w:r w:rsidR="003F18B6">
        <w:t xml:space="preserve">Mean time to local recurrence was </w:t>
      </w:r>
      <w:r w:rsidR="00204668">
        <w:t xml:space="preserve">26 </w:t>
      </w:r>
      <w:r w:rsidR="00DE5E50">
        <w:t>(range 3-131)</w:t>
      </w:r>
      <w:r w:rsidR="00DE5E50" w:rsidRPr="00DE5E50">
        <w:t xml:space="preserve"> </w:t>
      </w:r>
      <w:r w:rsidR="00DE5E50">
        <w:t>months</w:t>
      </w:r>
      <w:r w:rsidR="00204668">
        <w:t xml:space="preserve"> in group A and 22 </w:t>
      </w:r>
      <w:r w:rsidR="00DE5E50">
        <w:t>(range 3-133)</w:t>
      </w:r>
      <w:r w:rsidR="00DE5E50" w:rsidRPr="00DE5E50">
        <w:t xml:space="preserve"> </w:t>
      </w:r>
      <w:r w:rsidR="00204668">
        <w:t xml:space="preserve">months in Group B. 7 out of 12 (60%) in group A and 22/38 (57%) in group B developed distant metastasis following local recurrence. Annual local recurrence </w:t>
      </w:r>
      <w:r>
        <w:t>rate of</w:t>
      </w:r>
      <w:r w:rsidR="005D29AA">
        <w:t xml:space="preserve"> patients</w:t>
      </w:r>
      <w:r w:rsidR="005342B4">
        <w:t>, for those</w:t>
      </w:r>
      <w:r w:rsidR="005D29AA">
        <w:t xml:space="preserve"> who completed 36 months of </w:t>
      </w:r>
      <w:r w:rsidR="00C500DE">
        <w:t>follow up</w:t>
      </w:r>
      <w:r w:rsidR="005342B4">
        <w:t>,</w:t>
      </w:r>
      <w:r w:rsidR="00C500DE">
        <w:t xml:space="preserve"> was </w:t>
      </w:r>
      <w:r w:rsidR="00204668">
        <w:t xml:space="preserve">similar in the </w:t>
      </w:r>
      <w:r w:rsidR="005342B4">
        <w:t>two</w:t>
      </w:r>
      <w:r w:rsidR="00204668">
        <w:t xml:space="preserve"> groups. </w:t>
      </w:r>
      <w:r w:rsidR="005342B4">
        <w:t>Thirty-</w:t>
      </w:r>
      <w:proofErr w:type="gramStart"/>
      <w:r w:rsidR="005342B4">
        <w:t xml:space="preserve">nine  </w:t>
      </w:r>
      <w:r>
        <w:t>patients</w:t>
      </w:r>
      <w:proofErr w:type="gramEnd"/>
      <w:r>
        <w:t xml:space="preserve"> (29%) developed distant metastasis in group A and 89(20%) in group B. </w:t>
      </w:r>
      <w:r w:rsidR="001546ED">
        <w:t xml:space="preserve">Mean time to distant metastasis was 36(2-136) months for group A and 24(3-132) months for </w:t>
      </w:r>
      <w:r>
        <w:t>group B</w:t>
      </w:r>
      <w:r w:rsidR="005342B4">
        <w:t xml:space="preserve"> (see Table 2)</w:t>
      </w:r>
      <w:r w:rsidR="001546ED">
        <w:t xml:space="preserve">. </w:t>
      </w:r>
    </w:p>
    <w:p w14:paraId="139E0157" w14:textId="77777777" w:rsidR="00E66130" w:rsidRDefault="00E66130" w:rsidP="001E5339">
      <w:pPr>
        <w:jc w:val="both"/>
      </w:pPr>
    </w:p>
    <w:p w14:paraId="2FA6112B" w14:textId="77777777" w:rsidR="00BB1FAA" w:rsidRDefault="00BB1FAA" w:rsidP="001E5339">
      <w:pPr>
        <w:jc w:val="both"/>
      </w:pPr>
    </w:p>
    <w:p w14:paraId="10ED58B2" w14:textId="77777777" w:rsidR="005342B4" w:rsidRDefault="005342B4" w:rsidP="005342B4">
      <w:pPr>
        <w:jc w:val="both"/>
      </w:pPr>
      <w:r w:rsidRPr="005342B4">
        <w:rPr>
          <w:highlight w:val="yellow"/>
        </w:rPr>
        <w:t>[</w:t>
      </w:r>
      <w:r>
        <w:rPr>
          <w:highlight w:val="yellow"/>
        </w:rPr>
        <w:t xml:space="preserve">comment for journal Editor: </w:t>
      </w:r>
      <w:r w:rsidRPr="005342B4">
        <w:rPr>
          <w:highlight w:val="yellow"/>
        </w:rPr>
        <w:t xml:space="preserve">Table </w:t>
      </w:r>
      <w:r>
        <w:rPr>
          <w:highlight w:val="yellow"/>
        </w:rPr>
        <w:t>2</w:t>
      </w:r>
      <w:r w:rsidRPr="005342B4">
        <w:rPr>
          <w:highlight w:val="yellow"/>
        </w:rPr>
        <w:t xml:space="preserve"> to be inserted here]</w:t>
      </w:r>
    </w:p>
    <w:p w14:paraId="7C704F5F" w14:textId="77777777" w:rsidR="005342B4" w:rsidRDefault="005342B4" w:rsidP="001E5339">
      <w:pPr>
        <w:jc w:val="both"/>
      </w:pPr>
    </w:p>
    <w:p w14:paraId="7BA1DDE1" w14:textId="77777777" w:rsidR="005342B4" w:rsidRDefault="005342B4">
      <w:pPr>
        <w:jc w:val="center"/>
      </w:pPr>
    </w:p>
    <w:p w14:paraId="0BC9F003" w14:textId="77777777" w:rsidR="00BB1FAA" w:rsidRDefault="00BB1FAA" w:rsidP="001E5339">
      <w:pPr>
        <w:jc w:val="both"/>
        <w:rPr>
          <w:b/>
        </w:rPr>
      </w:pPr>
    </w:p>
    <w:p w14:paraId="5D094C86" w14:textId="77777777" w:rsidR="005342B4" w:rsidRDefault="005342B4" w:rsidP="001E5339">
      <w:pPr>
        <w:jc w:val="both"/>
        <w:rPr>
          <w:b/>
        </w:rPr>
      </w:pPr>
    </w:p>
    <w:p w14:paraId="48C99BAD" w14:textId="77777777" w:rsidR="005342B4" w:rsidRDefault="005342B4" w:rsidP="001E5339">
      <w:pPr>
        <w:jc w:val="both"/>
        <w:rPr>
          <w:b/>
        </w:rPr>
      </w:pPr>
    </w:p>
    <w:p w14:paraId="7966245F" w14:textId="77777777" w:rsidR="005342B4" w:rsidRDefault="005342B4" w:rsidP="001E5339">
      <w:pPr>
        <w:jc w:val="both"/>
        <w:rPr>
          <w:b/>
        </w:rPr>
      </w:pPr>
    </w:p>
    <w:p w14:paraId="5E8E3943" w14:textId="77777777" w:rsidR="001E12D1" w:rsidRDefault="001420EC" w:rsidP="001E5339">
      <w:pPr>
        <w:jc w:val="both"/>
        <w:rPr>
          <w:b/>
        </w:rPr>
      </w:pPr>
      <w:r w:rsidRPr="001420EC">
        <w:rPr>
          <w:b/>
        </w:rPr>
        <w:t>Survival analysis</w:t>
      </w:r>
    </w:p>
    <w:p w14:paraId="113796C9" w14:textId="77777777" w:rsidR="005D071E" w:rsidRDefault="005D071E" w:rsidP="001E5339">
      <w:pPr>
        <w:jc w:val="both"/>
        <w:rPr>
          <w:b/>
        </w:rPr>
      </w:pPr>
    </w:p>
    <w:p w14:paraId="1CA04F86" w14:textId="77777777" w:rsidR="004541B3" w:rsidRDefault="005D071E" w:rsidP="001E5339">
      <w:pPr>
        <w:jc w:val="both"/>
      </w:pPr>
      <w:r>
        <w:t>N</w:t>
      </w:r>
      <w:r w:rsidR="004544B4">
        <w:t>o</w:t>
      </w:r>
      <w:r w:rsidR="00C4543E">
        <w:t xml:space="preserve"> significant difference in survival</w:t>
      </w:r>
      <w:r>
        <w:t xml:space="preserve"> was found </w:t>
      </w:r>
      <w:r w:rsidR="00C4543E">
        <w:t xml:space="preserve">between </w:t>
      </w:r>
      <w:r w:rsidR="004544B4">
        <w:t>group A and group B</w:t>
      </w:r>
      <w:r w:rsidR="00C4543E">
        <w:t xml:space="preserve"> (p</w:t>
      </w:r>
      <w:r w:rsidR="004541B3">
        <w:t xml:space="preserve"> </w:t>
      </w:r>
      <w:r w:rsidR="005342B4">
        <w:t>= 0.18</w:t>
      </w:r>
      <w:r w:rsidR="00C4543E">
        <w:t xml:space="preserve">, Log rank test), although there </w:t>
      </w:r>
      <w:r w:rsidR="004544B4">
        <w:t>wa</w:t>
      </w:r>
      <w:r w:rsidR="00C4543E">
        <w:t xml:space="preserve">s a trend </w:t>
      </w:r>
      <w:r w:rsidR="0057537D">
        <w:t>towards</w:t>
      </w:r>
      <w:r w:rsidR="00C4543E">
        <w:t xml:space="preserve"> </w:t>
      </w:r>
      <w:r w:rsidR="004544B4">
        <w:t>improved</w:t>
      </w:r>
      <w:r w:rsidR="00C4543E">
        <w:t xml:space="preserve"> survival amongst IBR patients. </w:t>
      </w:r>
      <w:proofErr w:type="gramStart"/>
      <w:r w:rsidR="004544B4">
        <w:t>Similarly</w:t>
      </w:r>
      <w:proofErr w:type="gramEnd"/>
      <w:r w:rsidR="004544B4">
        <w:t xml:space="preserve"> there was </w:t>
      </w:r>
      <w:r w:rsidR="004544B4">
        <w:lastRenderedPageBreak/>
        <w:t xml:space="preserve">no disadvantage for IBR </w:t>
      </w:r>
      <w:r w:rsidR="00AF5957">
        <w:t>patients in</w:t>
      </w:r>
      <w:r w:rsidR="004544B4">
        <w:t xml:space="preserve"> terms </w:t>
      </w:r>
      <w:r w:rsidR="00AF5957">
        <w:t>of local</w:t>
      </w:r>
      <w:r w:rsidR="005342B4">
        <w:t xml:space="preserve"> recurrence (p = 0.51</w:t>
      </w:r>
      <w:r w:rsidR="00C4543E">
        <w:t>)</w:t>
      </w:r>
      <w:r w:rsidR="004544B4" w:rsidRPr="004544B4">
        <w:t xml:space="preserve"> </w:t>
      </w:r>
      <w:r w:rsidR="00AF5957">
        <w:t>and distant</w:t>
      </w:r>
      <w:r w:rsidR="004544B4">
        <w:t xml:space="preserve"> metastases (p = 0.78)</w:t>
      </w:r>
      <w:r w:rsidR="005342B4">
        <w:t>. Figure 2 summarises the data by means of Kaplan-Meier plots.</w:t>
      </w:r>
    </w:p>
    <w:p w14:paraId="4D178B7D" w14:textId="77777777" w:rsidR="005342B4" w:rsidRDefault="005342B4" w:rsidP="001E5339">
      <w:pPr>
        <w:jc w:val="both"/>
      </w:pPr>
    </w:p>
    <w:p w14:paraId="1B4F2303" w14:textId="77777777" w:rsidR="005342B4" w:rsidRDefault="005342B4" w:rsidP="001E5339">
      <w:pPr>
        <w:jc w:val="both"/>
      </w:pPr>
    </w:p>
    <w:p w14:paraId="45FEF372" w14:textId="77777777" w:rsidR="005342B4" w:rsidRDefault="005342B4" w:rsidP="005342B4">
      <w:pPr>
        <w:jc w:val="both"/>
      </w:pPr>
      <w:r w:rsidRPr="005342B4">
        <w:rPr>
          <w:highlight w:val="yellow"/>
        </w:rPr>
        <w:t>[</w:t>
      </w:r>
      <w:r>
        <w:rPr>
          <w:highlight w:val="yellow"/>
        </w:rPr>
        <w:t xml:space="preserve">comment for journal Editor: Figure 2 </w:t>
      </w:r>
      <w:r w:rsidRPr="005342B4">
        <w:rPr>
          <w:highlight w:val="yellow"/>
        </w:rPr>
        <w:t>to be inserted here]</w:t>
      </w:r>
    </w:p>
    <w:p w14:paraId="60CE2F95" w14:textId="77777777" w:rsidR="005342B4" w:rsidRDefault="005342B4" w:rsidP="001E5339">
      <w:pPr>
        <w:jc w:val="both"/>
      </w:pPr>
    </w:p>
    <w:p w14:paraId="610458CB" w14:textId="77777777" w:rsidR="005342B4" w:rsidRDefault="005342B4" w:rsidP="001E5339">
      <w:pPr>
        <w:jc w:val="both"/>
      </w:pPr>
    </w:p>
    <w:p w14:paraId="7ECF52A3" w14:textId="77777777" w:rsidR="004541B3" w:rsidRDefault="004541B3" w:rsidP="001E5339">
      <w:pPr>
        <w:jc w:val="both"/>
      </w:pPr>
      <w:r>
        <w:t xml:space="preserve">             </w:t>
      </w:r>
    </w:p>
    <w:p w14:paraId="72A230D2" w14:textId="77777777" w:rsidR="00ED6840" w:rsidRDefault="00AF5957" w:rsidP="001E5339">
      <w:pPr>
        <w:jc w:val="both"/>
      </w:pPr>
      <w:r>
        <w:t>W</w:t>
      </w:r>
      <w:r w:rsidR="00FD7297">
        <w:t xml:space="preserve">e </w:t>
      </w:r>
      <w:r>
        <w:t xml:space="preserve">further </w:t>
      </w:r>
      <w:r w:rsidR="00DC5CCF">
        <w:t xml:space="preserve">analysed </w:t>
      </w:r>
      <w:r w:rsidR="005342B4">
        <w:t>disease-</w:t>
      </w:r>
      <w:r w:rsidR="00DC4690">
        <w:t>free</w:t>
      </w:r>
      <w:r w:rsidR="00DC5CCF">
        <w:t xml:space="preserve"> survival in subgroups defined by </w:t>
      </w:r>
      <w:r w:rsidR="005D071E">
        <w:t xml:space="preserve">their </w:t>
      </w:r>
      <w:r w:rsidR="00DC5CCF">
        <w:t xml:space="preserve">Nottingham Prognostic Index. </w:t>
      </w:r>
      <w:r w:rsidR="003C0450">
        <w:t>The IBR</w:t>
      </w:r>
      <w:r w:rsidR="00DC5CCF">
        <w:t xml:space="preserve"> </w:t>
      </w:r>
      <w:r w:rsidR="003C0450">
        <w:t xml:space="preserve">patients suffered no excess </w:t>
      </w:r>
      <w:r w:rsidR="00DC4690">
        <w:t>local recurrence in</w:t>
      </w:r>
      <w:r w:rsidR="003C0450">
        <w:t xml:space="preserve"> the good</w:t>
      </w:r>
      <w:r w:rsidR="005342B4">
        <w:t xml:space="preserve"> (p= 0.79)</w:t>
      </w:r>
      <w:r w:rsidR="003C0450">
        <w:t>, moderate</w:t>
      </w:r>
      <w:r w:rsidR="005342B4">
        <w:t xml:space="preserve"> (p= 0.77)</w:t>
      </w:r>
      <w:r w:rsidR="003C0450">
        <w:t xml:space="preserve"> or poor </w:t>
      </w:r>
      <w:r w:rsidR="005342B4">
        <w:t xml:space="preserve">(p= 0.84) </w:t>
      </w:r>
      <w:r w:rsidR="003C0450">
        <w:t xml:space="preserve">prognostic groups compared to mastectomy alone. </w:t>
      </w:r>
      <w:proofErr w:type="gramStart"/>
      <w:r w:rsidR="003C0450">
        <w:t>Similarly</w:t>
      </w:r>
      <w:proofErr w:type="gramEnd"/>
      <w:r w:rsidR="003C0450">
        <w:t xml:space="preserve"> there was </w:t>
      </w:r>
      <w:r w:rsidR="00FD7297">
        <w:t xml:space="preserve">no </w:t>
      </w:r>
      <w:r w:rsidR="003C0450">
        <w:t xml:space="preserve">significant difference in the time to distant metastasis </w:t>
      </w:r>
      <w:r w:rsidR="00FD7297">
        <w:t xml:space="preserve">either </w:t>
      </w:r>
      <w:r w:rsidR="003C0450">
        <w:t xml:space="preserve">in the </w:t>
      </w:r>
      <w:r w:rsidR="00FD7297">
        <w:t>good</w:t>
      </w:r>
      <w:r w:rsidR="005342B4">
        <w:t xml:space="preserve"> (p= 079)</w:t>
      </w:r>
      <w:r w:rsidR="00FD7297">
        <w:t>, moderate</w:t>
      </w:r>
      <w:r w:rsidR="005342B4">
        <w:t xml:space="preserve"> (p= 0.26)</w:t>
      </w:r>
      <w:r w:rsidR="00FD7297">
        <w:t xml:space="preserve"> or poor </w:t>
      </w:r>
      <w:r w:rsidR="005342B4">
        <w:t xml:space="preserve">(p= 0.48) </w:t>
      </w:r>
      <w:r w:rsidR="00FD7297">
        <w:t xml:space="preserve">prognostic groups. </w:t>
      </w:r>
      <w:r w:rsidR="00DC4690">
        <w:t>There wa</w:t>
      </w:r>
      <w:r w:rsidR="00ED6840">
        <w:t>s a trend towards improved overall survival, in the IBR group</w:t>
      </w:r>
      <w:r w:rsidR="009E3530">
        <w:t>.</w:t>
      </w:r>
      <w:r w:rsidR="00ED6840">
        <w:t xml:space="preserve"> </w:t>
      </w:r>
      <w:r w:rsidR="0057537D">
        <w:t>(Graph</w:t>
      </w:r>
      <w:r w:rsidR="00ED6840">
        <w:t xml:space="preserve">7). </w:t>
      </w:r>
      <w:r w:rsidR="00850FE9">
        <w:t>We analysed overall survival within Nottingham Prognostic groups i</w:t>
      </w:r>
      <w:r w:rsidR="00ED6840">
        <w:t xml:space="preserve">n order to </w:t>
      </w:r>
      <w:r w:rsidR="00C500DE">
        <w:t>mitigate</w:t>
      </w:r>
      <w:r w:rsidR="00850FE9">
        <w:t xml:space="preserve"> against </w:t>
      </w:r>
      <w:r w:rsidR="00C500DE">
        <w:t>any</w:t>
      </w:r>
      <w:r w:rsidR="00C27ADE">
        <w:t xml:space="preserve"> prognostic </w:t>
      </w:r>
      <w:r w:rsidR="00C500DE">
        <w:t>bias that might have occurred in the s</w:t>
      </w:r>
      <w:r w:rsidR="00C27ADE">
        <w:t xml:space="preserve">election of </w:t>
      </w:r>
      <w:r w:rsidR="00ED6840">
        <w:t>patient</w:t>
      </w:r>
      <w:r w:rsidR="00850FE9">
        <w:t>s</w:t>
      </w:r>
      <w:r w:rsidR="00ED6840">
        <w:t xml:space="preserve"> for </w:t>
      </w:r>
      <w:r w:rsidR="001E5339">
        <w:t>IBR</w:t>
      </w:r>
      <w:r w:rsidR="00ED6840">
        <w:t xml:space="preserve">, </w:t>
      </w:r>
      <w:r w:rsidR="00850FE9">
        <w:t>A</w:t>
      </w:r>
      <w:r w:rsidR="00ED6840">
        <w:t xml:space="preserve"> small but significant improved overall survival for IBR patients in the good prognostic group</w:t>
      </w:r>
      <w:r w:rsidR="00850FE9">
        <w:t xml:space="preserve"> was </w:t>
      </w:r>
      <w:r w:rsidR="001E5339">
        <w:t xml:space="preserve">found. </w:t>
      </w:r>
      <w:r w:rsidR="00ED6840">
        <w:t xml:space="preserve">This </w:t>
      </w:r>
      <w:r w:rsidR="00C27ADE">
        <w:t xml:space="preserve">may </w:t>
      </w:r>
      <w:r w:rsidR="00850FE9">
        <w:t>be due</w:t>
      </w:r>
      <w:r w:rsidR="00ED6840">
        <w:t xml:space="preserve"> to the higher mortality from non breast cancer related events in the relatively older</w:t>
      </w:r>
      <w:r w:rsidR="00850FE9">
        <w:t xml:space="preserve"> </w:t>
      </w:r>
      <w:r w:rsidR="001E5339">
        <w:t>GroupB</w:t>
      </w:r>
      <w:r w:rsidR="00ED6840">
        <w:t xml:space="preserve"> </w:t>
      </w:r>
      <w:r w:rsidR="00850FE9">
        <w:t xml:space="preserve">patients </w:t>
      </w:r>
      <w:r w:rsidR="00ED6840">
        <w:t xml:space="preserve">compared to </w:t>
      </w:r>
      <w:proofErr w:type="spellStart"/>
      <w:r w:rsidR="00850FE9">
        <w:t>groupA</w:t>
      </w:r>
      <w:proofErr w:type="spellEnd"/>
      <w:r w:rsidR="00ED6840">
        <w:t xml:space="preserve"> patients. In the poor prognostic group </w:t>
      </w:r>
      <w:r w:rsidR="00850FE9">
        <w:t>with higher</w:t>
      </w:r>
      <w:r w:rsidR="00ED6840">
        <w:t xml:space="preserve"> breast cancer specific deaths there is no survival disadvantage for the IBR patients (</w:t>
      </w:r>
      <w:r w:rsidR="004E6642">
        <w:t>Figure 3</w:t>
      </w:r>
      <w:r w:rsidR="00ED6840">
        <w:t xml:space="preserve">) </w:t>
      </w:r>
    </w:p>
    <w:p w14:paraId="5337E0FF" w14:textId="77777777" w:rsidR="00DC5AE8" w:rsidRDefault="00DC5AE8" w:rsidP="001E5339">
      <w:pPr>
        <w:jc w:val="both"/>
      </w:pPr>
    </w:p>
    <w:p w14:paraId="21BF8874" w14:textId="77777777" w:rsidR="00DC5AE8" w:rsidRDefault="00DC5AE8" w:rsidP="001E5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D6840">
        <w:tab/>
      </w:r>
      <w:r w:rsidR="00E74EAB">
        <w:t xml:space="preserve">        </w:t>
      </w:r>
    </w:p>
    <w:p w14:paraId="4BE2A09C" w14:textId="77777777" w:rsidR="00E74EAB" w:rsidRDefault="00E74EAB" w:rsidP="001E5339">
      <w:pPr>
        <w:jc w:val="both"/>
      </w:pPr>
    </w:p>
    <w:p w14:paraId="50384BAD" w14:textId="77777777" w:rsidR="004E6642" w:rsidRDefault="004E6642" w:rsidP="004E6642">
      <w:pPr>
        <w:jc w:val="both"/>
      </w:pPr>
      <w:r w:rsidRPr="005342B4">
        <w:rPr>
          <w:highlight w:val="yellow"/>
        </w:rPr>
        <w:t>[</w:t>
      </w:r>
      <w:r>
        <w:rPr>
          <w:highlight w:val="yellow"/>
        </w:rPr>
        <w:t xml:space="preserve">comment for journal Editor: Figure 3 </w:t>
      </w:r>
      <w:r w:rsidRPr="005342B4">
        <w:rPr>
          <w:highlight w:val="yellow"/>
        </w:rPr>
        <w:t>to be inserted here]</w:t>
      </w:r>
    </w:p>
    <w:p w14:paraId="1ABBFEDF" w14:textId="77777777" w:rsidR="004E6642" w:rsidRDefault="004E6642">
      <w:pPr>
        <w:jc w:val="both"/>
      </w:pPr>
    </w:p>
    <w:p w14:paraId="392D6E61" w14:textId="77777777" w:rsidR="00E74EAB" w:rsidRDefault="00E74EAB" w:rsidP="001E5339">
      <w:pPr>
        <w:jc w:val="both"/>
      </w:pPr>
      <w:r>
        <w:t xml:space="preserve">                                                                 </w:t>
      </w:r>
    </w:p>
    <w:p w14:paraId="1EF05003" w14:textId="77777777" w:rsidR="00ED6840" w:rsidRDefault="00ED6840" w:rsidP="001E533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43A5597" w14:textId="77777777" w:rsidR="00ED6840" w:rsidRDefault="00ED6840" w:rsidP="001E533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CF234CE" w14:textId="77777777" w:rsidR="00ED6840" w:rsidRDefault="00ED6840" w:rsidP="001E5339">
      <w:pPr>
        <w:jc w:val="both"/>
      </w:pPr>
    </w:p>
    <w:p w14:paraId="02E0B076" w14:textId="77777777" w:rsidR="0076446E" w:rsidRDefault="0076446E" w:rsidP="001E5339">
      <w:pPr>
        <w:jc w:val="both"/>
        <w:rPr>
          <w:b/>
        </w:rPr>
      </w:pPr>
      <w:r w:rsidRPr="0076446E">
        <w:rPr>
          <w:b/>
        </w:rPr>
        <w:t>Discussion</w:t>
      </w:r>
    </w:p>
    <w:p w14:paraId="00DE4862" w14:textId="77777777" w:rsidR="00F90C45" w:rsidRDefault="00F90C45" w:rsidP="001E5339">
      <w:pPr>
        <w:jc w:val="both"/>
        <w:rPr>
          <w:b/>
        </w:rPr>
      </w:pPr>
    </w:p>
    <w:p w14:paraId="6A8B7CD7" w14:textId="77777777" w:rsidR="005369E7" w:rsidRDefault="006E3FC1" w:rsidP="001E5339">
      <w:pPr>
        <w:jc w:val="both"/>
      </w:pPr>
      <w:r>
        <w:t xml:space="preserve">This study compares </w:t>
      </w:r>
      <w:r w:rsidR="009175AF">
        <w:t xml:space="preserve">survival in </w:t>
      </w:r>
      <w:r w:rsidR="00731C59">
        <w:t xml:space="preserve">mastectomy surgery </w:t>
      </w:r>
      <w:r>
        <w:t>patients who had IBR with those who had no IBR</w:t>
      </w:r>
      <w:r w:rsidR="00731C59">
        <w:t>. Patient data was collected retrospectively and neither were patients randomised to one of the two treatments assessed.</w:t>
      </w:r>
      <w:r w:rsidR="005369E7">
        <w:t xml:space="preserve"> </w:t>
      </w:r>
      <w:r w:rsidR="00852144">
        <w:t>N</w:t>
      </w:r>
      <w:r w:rsidR="005369E7">
        <w:t xml:space="preserve">o fixed policy governed which patients were offered reconstruction. For this </w:t>
      </w:r>
      <w:proofErr w:type="gramStart"/>
      <w:r w:rsidR="005369E7">
        <w:t>reason</w:t>
      </w:r>
      <w:proofErr w:type="gramEnd"/>
      <w:r w:rsidR="005369E7">
        <w:t xml:space="preserve"> results in terms of recurrence and survival were analysed after subdivision of patients according to NPI. By doing this any pr</w:t>
      </w:r>
      <w:r w:rsidR="00852144">
        <w:t>o</w:t>
      </w:r>
      <w:r w:rsidR="005369E7">
        <w:t>g</w:t>
      </w:r>
      <w:r w:rsidR="00852144">
        <w:t>nos</w:t>
      </w:r>
      <w:r w:rsidR="005369E7">
        <w:t xml:space="preserve">tic bias involved in decision making to </w:t>
      </w:r>
      <w:r w:rsidR="00B25081">
        <w:t>offer patients</w:t>
      </w:r>
      <w:r w:rsidR="005369E7">
        <w:t xml:space="preserve"> IBR </w:t>
      </w:r>
      <w:r w:rsidR="009175AF">
        <w:t>is</w:t>
      </w:r>
      <w:r w:rsidR="005369E7">
        <w:t xml:space="preserve"> </w:t>
      </w:r>
      <w:r w:rsidR="00852144">
        <w:t>reduced</w:t>
      </w:r>
      <w:r w:rsidR="005369E7">
        <w:t>.</w:t>
      </w:r>
    </w:p>
    <w:p w14:paraId="04413F83" w14:textId="77777777" w:rsidR="00B25081" w:rsidRDefault="00B25081" w:rsidP="001E5339">
      <w:pPr>
        <w:jc w:val="both"/>
      </w:pPr>
    </w:p>
    <w:p w14:paraId="562E2B2D" w14:textId="77777777" w:rsidR="004D3157" w:rsidRDefault="00726AB3" w:rsidP="001E5339">
      <w:pPr>
        <w:jc w:val="both"/>
      </w:pPr>
      <w:r>
        <w:t xml:space="preserve">There </w:t>
      </w:r>
      <w:r w:rsidR="009175AF">
        <w:t>wa</w:t>
      </w:r>
      <w:r>
        <w:t>s no significant difference in the time to local recurrence between the two groups</w:t>
      </w:r>
      <w:r w:rsidR="00BB1FAA">
        <w:t xml:space="preserve"> (25 versus 22 months)</w:t>
      </w:r>
      <w:r>
        <w:t xml:space="preserve"> implying IBR doesn’t delay detection of local recurrence.</w:t>
      </w:r>
      <w:r w:rsidR="002257BD">
        <w:t xml:space="preserve"> The </w:t>
      </w:r>
      <w:r w:rsidR="00852144">
        <w:t>annual</w:t>
      </w:r>
      <w:r w:rsidR="002257BD">
        <w:t xml:space="preserve"> local recurrence </w:t>
      </w:r>
      <w:r w:rsidR="00792B4B">
        <w:t xml:space="preserve">rate </w:t>
      </w:r>
      <w:r w:rsidR="00C27ADE">
        <w:t xml:space="preserve">of patients who completed 36 months follow up </w:t>
      </w:r>
      <w:r w:rsidR="002257BD">
        <w:t xml:space="preserve">was also </w:t>
      </w:r>
      <w:r w:rsidR="009175AF">
        <w:t xml:space="preserve">similar between the two </w:t>
      </w:r>
      <w:r w:rsidR="00B25081">
        <w:t>groups (</w:t>
      </w:r>
      <w:r w:rsidR="00852144">
        <w:t>1.7</w:t>
      </w:r>
      <w:r w:rsidR="005C188D">
        <w:t xml:space="preserve"> %</w:t>
      </w:r>
      <w:r w:rsidR="00852144">
        <w:t xml:space="preserve"> </w:t>
      </w:r>
      <w:r w:rsidR="00B25081">
        <w:t xml:space="preserve">in </w:t>
      </w:r>
      <w:r w:rsidR="00852144">
        <w:t>group</w:t>
      </w:r>
      <w:r w:rsidR="009175AF">
        <w:t xml:space="preserve"> A</w:t>
      </w:r>
      <w:r w:rsidR="00852144">
        <w:t xml:space="preserve"> </w:t>
      </w:r>
      <w:r w:rsidR="00B25081">
        <w:t>versus</w:t>
      </w:r>
      <w:r w:rsidR="005C188D">
        <w:t xml:space="preserve"> </w:t>
      </w:r>
      <w:r w:rsidR="00852144">
        <w:t>2.1</w:t>
      </w:r>
      <w:r w:rsidR="00CA6343">
        <w:t xml:space="preserve"> in </w:t>
      </w:r>
      <w:r w:rsidR="00852144">
        <w:t>group</w:t>
      </w:r>
      <w:r w:rsidR="009175AF">
        <w:t xml:space="preserve"> B</w:t>
      </w:r>
      <w:r w:rsidR="00B25081">
        <w:t>)</w:t>
      </w:r>
      <w:r w:rsidR="00792B4B">
        <w:t>.</w:t>
      </w:r>
      <w:r w:rsidR="005B0D53">
        <w:t xml:space="preserve"> </w:t>
      </w:r>
    </w:p>
    <w:p w14:paraId="443B4C17" w14:textId="77777777" w:rsidR="007A72A6" w:rsidRDefault="007A72A6" w:rsidP="001E5339">
      <w:pPr>
        <w:jc w:val="both"/>
      </w:pPr>
    </w:p>
    <w:p w14:paraId="31E2FA07" w14:textId="77777777" w:rsidR="00792B4B" w:rsidRDefault="00792B4B" w:rsidP="001E5339">
      <w:pPr>
        <w:jc w:val="both"/>
      </w:pPr>
    </w:p>
    <w:p w14:paraId="6B9EB90E" w14:textId="77777777" w:rsidR="007A72A6" w:rsidRDefault="007A72A6" w:rsidP="001E5339">
      <w:pPr>
        <w:jc w:val="both"/>
      </w:pPr>
      <w:r>
        <w:t xml:space="preserve">. </w:t>
      </w:r>
    </w:p>
    <w:p w14:paraId="432E381C" w14:textId="77777777" w:rsidR="007A72A6" w:rsidRDefault="007A72A6" w:rsidP="001E5339">
      <w:pPr>
        <w:jc w:val="both"/>
      </w:pPr>
    </w:p>
    <w:p w14:paraId="5F2B64E9" w14:textId="77777777" w:rsidR="007E5D33" w:rsidRDefault="00532A84" w:rsidP="001E5339">
      <w:pPr>
        <w:jc w:val="both"/>
      </w:pPr>
      <w:r>
        <w:t xml:space="preserve">A number of </w:t>
      </w:r>
      <w:r w:rsidR="007E5D33">
        <w:t xml:space="preserve">other </w:t>
      </w:r>
      <w:r>
        <w:t xml:space="preserve">studies have looked at the impact of </w:t>
      </w:r>
      <w:r w:rsidR="007E5D33">
        <w:t>IBR</w:t>
      </w:r>
      <w:r>
        <w:t xml:space="preserve"> on local recurrence and mortality</w:t>
      </w:r>
      <w:r w:rsidR="007E5D33">
        <w:t xml:space="preserve"> </w:t>
      </w:r>
      <w:r>
        <w:t>and concluded that immediate reconstruction is safe</w:t>
      </w:r>
      <w:r w:rsidR="00304EC7">
        <w:t xml:space="preserve">. </w:t>
      </w:r>
      <w:proofErr w:type="gramStart"/>
      <w:r w:rsidR="00304EC7">
        <w:t>However</w:t>
      </w:r>
      <w:proofErr w:type="gramEnd"/>
      <w:r w:rsidR="00304EC7">
        <w:t xml:space="preserve"> most of these series</w:t>
      </w:r>
      <w:r w:rsidR="0023791D">
        <w:t xml:space="preserve"> were based on small retrospectively collected data without a control population. There </w:t>
      </w:r>
      <w:r w:rsidR="007E5D33">
        <w:t>have been no reported randomised studies</w:t>
      </w:r>
      <w:r w:rsidR="0023791D">
        <w:t xml:space="preserve"> comparing IBR versus no IBR</w:t>
      </w:r>
      <w:r w:rsidR="007E5D33">
        <w:t xml:space="preserve">. Such a study would not be possible for ethical </w:t>
      </w:r>
      <w:r w:rsidR="00932DEA">
        <w:t>reasons. The</w:t>
      </w:r>
      <w:r w:rsidR="007E5D33">
        <w:t xml:space="preserve"> use of Nottingham Prognostic Index goes someway to avoid bias of patient selection</w:t>
      </w:r>
      <w:r w:rsidR="00932DEA">
        <w:t xml:space="preserve"> for IBR when comparing outcomes in the two groups of patients studied.</w:t>
      </w:r>
    </w:p>
    <w:p w14:paraId="1ECB1736" w14:textId="77777777" w:rsidR="007E5D33" w:rsidRDefault="007E5D33" w:rsidP="001E5339">
      <w:pPr>
        <w:jc w:val="both"/>
      </w:pPr>
    </w:p>
    <w:p w14:paraId="704640EA" w14:textId="77777777" w:rsidR="00DA68F8" w:rsidRDefault="00DA68F8" w:rsidP="001E5339">
      <w:pPr>
        <w:jc w:val="both"/>
      </w:pPr>
      <w:r>
        <w:t xml:space="preserve">The main </w:t>
      </w:r>
      <w:r w:rsidR="007E5D33">
        <w:t>limitations</w:t>
      </w:r>
      <w:r>
        <w:t xml:space="preserve"> of this study </w:t>
      </w:r>
      <w:r w:rsidR="00E54BE4">
        <w:t>are that</w:t>
      </w:r>
      <w:r>
        <w:t xml:space="preserve"> the number of patients is </w:t>
      </w:r>
      <w:r w:rsidR="00E54BE4">
        <w:t>small and</w:t>
      </w:r>
      <w:r>
        <w:t xml:space="preserve"> minimum follow</w:t>
      </w:r>
      <w:r w:rsidR="00102879">
        <w:t xml:space="preserve"> up </w:t>
      </w:r>
      <w:r>
        <w:t xml:space="preserve">is only 16 months even though </w:t>
      </w:r>
      <w:r w:rsidR="00E54BE4">
        <w:t>the study</w:t>
      </w:r>
      <w:r>
        <w:t xml:space="preserve"> population is selected from a consecutive series </w:t>
      </w:r>
      <w:r w:rsidR="00932DEA">
        <w:t>over 10</w:t>
      </w:r>
      <w:r w:rsidR="007A72A6">
        <w:t xml:space="preserve"> years</w:t>
      </w:r>
      <w:r w:rsidR="00C353F2">
        <w:t>.</w:t>
      </w:r>
      <w:r w:rsidR="00102879">
        <w:t xml:space="preserve"> Literature search </w:t>
      </w:r>
      <w:r w:rsidR="007E5D33">
        <w:t>revealed</w:t>
      </w:r>
      <w:r w:rsidR="00102879">
        <w:t xml:space="preserve"> 3 studies with larger number of patients but the control groups were not match</w:t>
      </w:r>
      <w:r w:rsidR="007E5D33">
        <w:t>ed</w:t>
      </w:r>
      <w:r w:rsidR="00102879">
        <w:t xml:space="preserve"> for prognostic factors. </w:t>
      </w:r>
      <w:r w:rsidR="00C353F2">
        <w:t xml:space="preserve"> Michael </w:t>
      </w:r>
      <w:proofErr w:type="spellStart"/>
      <w:r w:rsidR="00C353F2">
        <w:t>Bezuhly</w:t>
      </w:r>
      <w:proofErr w:type="spellEnd"/>
      <w:r w:rsidR="00C353F2">
        <w:t xml:space="preserve"> et al compared 3620 IBR patients to 46177 control </w:t>
      </w:r>
      <w:r w:rsidR="00E54BE4">
        <w:t xml:space="preserve">patients </w:t>
      </w:r>
      <w:r w:rsidR="00C353F2">
        <w:t xml:space="preserve">who had mastectomy alone using the data from US </w:t>
      </w:r>
      <w:r w:rsidR="00E54BE4">
        <w:t>National Cancer</w:t>
      </w:r>
      <w:r w:rsidR="00C353F2">
        <w:t xml:space="preserve"> Institute’s Surveillance,</w:t>
      </w:r>
      <w:r w:rsidR="00304EC7">
        <w:t xml:space="preserve"> </w:t>
      </w:r>
      <w:proofErr w:type="spellStart"/>
      <w:r w:rsidR="00C353F2">
        <w:t>Epidemilogy</w:t>
      </w:r>
      <w:proofErr w:type="spellEnd"/>
      <w:r w:rsidR="00C353F2">
        <w:t xml:space="preserve"> and End Results (SEER) registries and found that IBR is associated with improved surviva</w:t>
      </w:r>
      <w:r w:rsidR="00035623">
        <w:fldChar w:fldCharType="begin"/>
      </w:r>
      <w:r w:rsidR="00035623">
        <w:instrText xml:space="preserve"> REF _Ref259867753 \r \h </w:instrText>
      </w:r>
      <w:r w:rsidR="00035623">
        <w:fldChar w:fldCharType="separate"/>
      </w:r>
      <w:r w:rsidR="00154041">
        <w:t>1</w:t>
      </w:r>
      <w:r w:rsidR="00035623">
        <w:fldChar w:fldCharType="end"/>
      </w:r>
      <w:r w:rsidR="00035623" w:rsidRPr="00154041">
        <w:rPr>
          <w:sz w:val="20"/>
          <w:szCs w:val="20"/>
          <w:vertAlign w:val="superscript"/>
        </w:rPr>
        <w:t>29</w:t>
      </w:r>
      <w:r w:rsidR="00C353F2">
        <w:t xml:space="preserve">. </w:t>
      </w:r>
      <w:proofErr w:type="gramStart"/>
      <w:r w:rsidR="00C353F2">
        <w:t>However</w:t>
      </w:r>
      <w:proofErr w:type="gramEnd"/>
      <w:r w:rsidR="00C353F2">
        <w:t xml:space="preserve"> the IBR patients used in this analysis were more likely to be younger with early stage lymph node negative </w:t>
      </w:r>
      <w:r w:rsidR="00E54BE4">
        <w:t xml:space="preserve">cancer. </w:t>
      </w:r>
      <w:r w:rsidR="00C353F2">
        <w:t xml:space="preserve"> Colleen M. </w:t>
      </w:r>
      <w:proofErr w:type="spellStart"/>
      <w:r w:rsidR="00C353F2">
        <w:t>Mccarthy</w:t>
      </w:r>
      <w:proofErr w:type="spellEnd"/>
      <w:r w:rsidR="00C353F2">
        <w:t xml:space="preserve"> compared 309 IBR patients with 309 controls matched for age and TNM staging and found that there </w:t>
      </w:r>
      <w:r w:rsidR="00E54BE4">
        <w:t xml:space="preserve">was </w:t>
      </w:r>
      <w:r w:rsidR="00C353F2">
        <w:t>no excess locoregional recurrence in the IBR group</w:t>
      </w:r>
      <w:r w:rsidR="006032DE" w:rsidRPr="00154041">
        <w:rPr>
          <w:sz w:val="20"/>
          <w:szCs w:val="20"/>
          <w:vertAlign w:val="superscript"/>
        </w:rPr>
        <w:t>30</w:t>
      </w:r>
      <w:r w:rsidR="00C353F2">
        <w:t xml:space="preserve">. </w:t>
      </w:r>
      <w:r w:rsidR="00102879">
        <w:t xml:space="preserve">TNM staging is </w:t>
      </w:r>
      <w:r w:rsidR="007E5D33">
        <w:t xml:space="preserve">not as accurate as NPI as </w:t>
      </w:r>
      <w:r w:rsidR="00932DEA">
        <w:t>a marker</w:t>
      </w:r>
      <w:r w:rsidR="00102879">
        <w:t xml:space="preserve"> of prognosis and </w:t>
      </w:r>
      <w:r w:rsidR="00E54BE4">
        <w:t xml:space="preserve">therefore </w:t>
      </w:r>
      <w:r w:rsidR="00102879">
        <w:t>control group is not a good match for IBR patients. Petit et al compared 518 IBR patients to 159 controls who had mastectomy alone in a consecutive series of 677</w:t>
      </w:r>
      <w:r w:rsidR="00E54BE4">
        <w:t xml:space="preserve"> patients </w:t>
      </w:r>
      <w:r w:rsidR="00102879">
        <w:t>and confirmed the safety of IBR in terms of disease free and overall survival</w:t>
      </w:r>
      <w:r w:rsidR="006032DE" w:rsidRPr="00154041">
        <w:rPr>
          <w:sz w:val="20"/>
          <w:szCs w:val="20"/>
          <w:vertAlign w:val="superscript"/>
        </w:rPr>
        <w:t>3</w:t>
      </w:r>
      <w:r w:rsidR="006032DE" w:rsidRPr="006032DE">
        <w:rPr>
          <w:sz w:val="22"/>
          <w:vertAlign w:val="superscript"/>
        </w:rPr>
        <w:t>1</w:t>
      </w:r>
      <w:r w:rsidR="00102879">
        <w:t xml:space="preserve">. </w:t>
      </w:r>
      <w:proofErr w:type="gramStart"/>
      <w:r w:rsidR="007E5D33">
        <w:t>Again</w:t>
      </w:r>
      <w:proofErr w:type="gramEnd"/>
      <w:r w:rsidR="00102879">
        <w:t xml:space="preserve"> the control </w:t>
      </w:r>
      <w:r w:rsidR="00E54BE4">
        <w:t>group was not</w:t>
      </w:r>
      <w:r w:rsidR="00102879">
        <w:t xml:space="preserve"> matched for prognostic factors.</w:t>
      </w:r>
    </w:p>
    <w:p w14:paraId="52354A17" w14:textId="77777777" w:rsidR="00F72B06" w:rsidRDefault="0025137B" w:rsidP="001E5339">
      <w:pPr>
        <w:jc w:val="both"/>
        <w:rPr>
          <w:sz w:val="20"/>
          <w:vertAlign w:val="superscript"/>
        </w:rPr>
      </w:pPr>
      <w:r>
        <w:t xml:space="preserve"> </w:t>
      </w:r>
    </w:p>
    <w:p w14:paraId="61684293" w14:textId="77777777" w:rsidR="00F22964" w:rsidRDefault="00F22964" w:rsidP="001E5339">
      <w:pPr>
        <w:jc w:val="both"/>
      </w:pPr>
    </w:p>
    <w:p w14:paraId="77CEE2A8" w14:textId="77777777" w:rsidR="00F22964" w:rsidRDefault="00F22964" w:rsidP="001E5339">
      <w:pPr>
        <w:jc w:val="both"/>
        <w:rPr>
          <w:b/>
        </w:rPr>
      </w:pPr>
      <w:r>
        <w:rPr>
          <w:b/>
        </w:rPr>
        <w:t>C</w:t>
      </w:r>
      <w:r w:rsidRPr="00F22964">
        <w:rPr>
          <w:b/>
        </w:rPr>
        <w:t>onclusion</w:t>
      </w:r>
    </w:p>
    <w:p w14:paraId="56DA3E64" w14:textId="0C6C4233" w:rsidR="00F22964" w:rsidRDefault="00F22964" w:rsidP="001E5339">
      <w:pPr>
        <w:jc w:val="both"/>
      </w:pPr>
      <w:r>
        <w:t>Th</w:t>
      </w:r>
      <w:r w:rsidR="001072D8">
        <w:t xml:space="preserve">e data presented </w:t>
      </w:r>
      <w:proofErr w:type="gramStart"/>
      <w:r w:rsidR="001072D8">
        <w:t xml:space="preserve">here </w:t>
      </w:r>
      <w:r>
        <w:t xml:space="preserve"> show</w:t>
      </w:r>
      <w:r w:rsidR="001072D8">
        <w:t>s</w:t>
      </w:r>
      <w:proofErr w:type="gramEnd"/>
      <w:r>
        <w:t xml:space="preserve"> that </w:t>
      </w:r>
      <w:r w:rsidRPr="00F22964">
        <w:t xml:space="preserve">IBR after mastectomy for breast cancer is safe and is </w:t>
      </w:r>
      <w:r w:rsidR="001072D8">
        <w:t xml:space="preserve">not </w:t>
      </w:r>
      <w:r w:rsidRPr="00F22964">
        <w:t xml:space="preserve">associated with </w:t>
      </w:r>
      <w:r w:rsidR="001072D8">
        <w:t>an</w:t>
      </w:r>
      <w:r w:rsidRPr="00F22964">
        <w:t xml:space="preserve"> increase</w:t>
      </w:r>
      <w:r w:rsidR="001072D8">
        <w:t>d</w:t>
      </w:r>
      <w:r w:rsidRPr="00F22964">
        <w:t xml:space="preserve"> risk of local or distant recurrence</w:t>
      </w:r>
      <w:r w:rsidR="001072D8">
        <w:t>,</w:t>
      </w:r>
      <w:r w:rsidRPr="00F22964">
        <w:t xml:space="preserve"> or death either overall or within Nottingham Prognostic Groups</w:t>
      </w:r>
      <w:r>
        <w:t>.</w:t>
      </w:r>
      <w:r w:rsidR="008414FA">
        <w:t xml:space="preserve"> Patients should be counselled</w:t>
      </w:r>
      <w:r w:rsidRPr="00F22964">
        <w:t xml:space="preserve"> </w:t>
      </w:r>
      <w:r w:rsidR="008414FA">
        <w:t xml:space="preserve">about the </w:t>
      </w:r>
      <w:r w:rsidR="001072D8">
        <w:t xml:space="preserve">option </w:t>
      </w:r>
      <w:r w:rsidR="008414FA">
        <w:t xml:space="preserve">of post operative </w:t>
      </w:r>
      <w:r w:rsidR="00E62E8C">
        <w:t>RT</w:t>
      </w:r>
      <w:r w:rsidR="008414FA">
        <w:t xml:space="preserve"> and the risk of implant related </w:t>
      </w:r>
      <w:r w:rsidR="00600EF4">
        <w:t>complications.</w:t>
      </w:r>
    </w:p>
    <w:p w14:paraId="0D9869CF" w14:textId="77777777" w:rsidR="00656F63" w:rsidRDefault="00656F63" w:rsidP="001E5339">
      <w:pPr>
        <w:jc w:val="both"/>
        <w:rPr>
          <w:b/>
        </w:rPr>
      </w:pPr>
    </w:p>
    <w:p w14:paraId="2B1FD7C2" w14:textId="77777777" w:rsidR="00656F63" w:rsidRDefault="00656F63" w:rsidP="001E5339">
      <w:pPr>
        <w:jc w:val="both"/>
        <w:rPr>
          <w:b/>
        </w:rPr>
      </w:pPr>
    </w:p>
    <w:p w14:paraId="7FA4F1BC" w14:textId="77777777" w:rsidR="00656F63" w:rsidRDefault="00656F63" w:rsidP="001E5339">
      <w:pPr>
        <w:jc w:val="both"/>
        <w:rPr>
          <w:b/>
        </w:rPr>
      </w:pPr>
    </w:p>
    <w:p w14:paraId="75DAA557" w14:textId="77777777" w:rsidR="001072D8" w:rsidRPr="002272AB" w:rsidRDefault="001072D8" w:rsidP="001072D8">
      <w:pPr>
        <w:autoSpaceDE w:val="0"/>
        <w:autoSpaceDN w:val="0"/>
        <w:adjustRightInd w:val="0"/>
        <w:rPr>
          <w:lang w:eastAsia="en-GB"/>
        </w:rPr>
      </w:pPr>
      <w:r w:rsidRPr="002272AB">
        <w:rPr>
          <w:i/>
          <w:iCs/>
          <w:lang w:eastAsia="en-GB"/>
        </w:rPr>
        <w:t>Ethical approval</w:t>
      </w:r>
      <w:r w:rsidRPr="002272AB">
        <w:rPr>
          <w:iCs/>
          <w:lang w:eastAsia="en-GB"/>
        </w:rPr>
        <w:t xml:space="preserve">: </w:t>
      </w:r>
      <w:r w:rsidRPr="002272AB">
        <w:rPr>
          <w:lang w:eastAsia="en-GB"/>
        </w:rPr>
        <w:t xml:space="preserve">Ethics approval was </w:t>
      </w:r>
      <w:r>
        <w:rPr>
          <w:lang w:eastAsia="en-GB"/>
        </w:rPr>
        <w:t xml:space="preserve">not deemed necessary as this concerns a retrospective evaluation in which no identifiable data is </w:t>
      </w:r>
      <w:proofErr w:type="gramStart"/>
      <w:r>
        <w:rPr>
          <w:lang w:eastAsia="en-GB"/>
        </w:rPr>
        <w:t>disclosed.</w:t>
      </w:r>
      <w:r w:rsidRPr="002272AB">
        <w:rPr>
          <w:lang w:eastAsia="en-GB"/>
        </w:rPr>
        <w:t>.</w:t>
      </w:r>
      <w:proofErr w:type="gramEnd"/>
    </w:p>
    <w:p w14:paraId="6005F81C" w14:textId="77777777" w:rsidR="001072D8" w:rsidRPr="002272AB" w:rsidRDefault="001072D8" w:rsidP="001072D8">
      <w:pPr>
        <w:autoSpaceDE w:val="0"/>
        <w:autoSpaceDN w:val="0"/>
        <w:adjustRightInd w:val="0"/>
        <w:rPr>
          <w:lang w:eastAsia="en-GB"/>
        </w:rPr>
      </w:pPr>
      <w:r w:rsidRPr="002272AB">
        <w:rPr>
          <w:i/>
          <w:iCs/>
          <w:lang w:eastAsia="en-GB"/>
        </w:rPr>
        <w:t>Funding</w:t>
      </w:r>
      <w:r w:rsidRPr="002272AB">
        <w:rPr>
          <w:iCs/>
          <w:lang w:eastAsia="en-GB"/>
        </w:rPr>
        <w:t xml:space="preserve">: </w:t>
      </w:r>
      <w:r>
        <w:rPr>
          <w:iCs/>
          <w:lang w:eastAsia="en-GB"/>
        </w:rPr>
        <w:t>None</w:t>
      </w:r>
      <w:r w:rsidRPr="002272AB">
        <w:rPr>
          <w:lang w:eastAsia="en-GB"/>
        </w:rPr>
        <w:t>.</w:t>
      </w:r>
    </w:p>
    <w:p w14:paraId="600C2D9A" w14:textId="77777777" w:rsidR="001072D8" w:rsidRDefault="001072D8" w:rsidP="001072D8">
      <w:pPr>
        <w:jc w:val="both"/>
        <w:rPr>
          <w:b/>
        </w:rPr>
      </w:pPr>
      <w:r w:rsidRPr="002272AB">
        <w:rPr>
          <w:i/>
          <w:iCs/>
          <w:lang w:eastAsia="en-GB"/>
        </w:rPr>
        <w:t>Conflicts of interest</w:t>
      </w:r>
      <w:r w:rsidRPr="002272AB">
        <w:rPr>
          <w:iCs/>
          <w:lang w:eastAsia="en-GB"/>
        </w:rPr>
        <w:t xml:space="preserve">: </w:t>
      </w:r>
      <w:r w:rsidRPr="002272AB">
        <w:rPr>
          <w:lang w:eastAsia="en-GB"/>
        </w:rPr>
        <w:t>None</w:t>
      </w:r>
      <w:r>
        <w:rPr>
          <w:lang w:eastAsia="en-GB"/>
        </w:rPr>
        <w:t>.</w:t>
      </w:r>
    </w:p>
    <w:p w14:paraId="4E3E4835" w14:textId="77777777" w:rsidR="00801FC0" w:rsidRDefault="00801FC0" w:rsidP="001E5339">
      <w:pPr>
        <w:jc w:val="both"/>
        <w:rPr>
          <w:b/>
        </w:rPr>
      </w:pPr>
    </w:p>
    <w:p w14:paraId="4664FC3C" w14:textId="77777777" w:rsidR="00801FC0" w:rsidRDefault="00801FC0" w:rsidP="001E5339">
      <w:pPr>
        <w:jc w:val="both"/>
        <w:rPr>
          <w:b/>
        </w:rPr>
      </w:pPr>
    </w:p>
    <w:p w14:paraId="2B2D619D" w14:textId="77777777" w:rsidR="00801FC0" w:rsidRDefault="00801FC0" w:rsidP="001E5339">
      <w:pPr>
        <w:jc w:val="both"/>
        <w:rPr>
          <w:b/>
        </w:rPr>
      </w:pPr>
    </w:p>
    <w:p w14:paraId="07069962" w14:textId="77777777" w:rsidR="00E54BE4" w:rsidRDefault="00E54BE4" w:rsidP="001E5339">
      <w:pPr>
        <w:jc w:val="both"/>
        <w:rPr>
          <w:b/>
        </w:rPr>
      </w:pPr>
    </w:p>
    <w:p w14:paraId="2336F3CF" w14:textId="77777777" w:rsidR="00E54BE4" w:rsidRDefault="00E54BE4" w:rsidP="001E5339">
      <w:pPr>
        <w:jc w:val="both"/>
        <w:rPr>
          <w:b/>
        </w:rPr>
      </w:pPr>
    </w:p>
    <w:p w14:paraId="0E341050" w14:textId="77777777" w:rsidR="00E54BE4" w:rsidRDefault="00E54BE4" w:rsidP="001E5339">
      <w:pPr>
        <w:jc w:val="both"/>
        <w:rPr>
          <w:b/>
        </w:rPr>
      </w:pPr>
    </w:p>
    <w:p w14:paraId="7E6284CE" w14:textId="77777777" w:rsidR="00AA5955" w:rsidRDefault="00AA5955" w:rsidP="001E5339">
      <w:pPr>
        <w:jc w:val="both"/>
        <w:rPr>
          <w:b/>
        </w:rPr>
      </w:pPr>
    </w:p>
    <w:p w14:paraId="248DD86F" w14:textId="77777777" w:rsidR="00AA5955" w:rsidRDefault="00AA5955" w:rsidP="001E5339">
      <w:pPr>
        <w:jc w:val="both"/>
        <w:rPr>
          <w:b/>
        </w:rPr>
      </w:pPr>
    </w:p>
    <w:p w14:paraId="70B4EF11" w14:textId="77777777" w:rsidR="00AA5955" w:rsidRDefault="00AA5955" w:rsidP="001E5339">
      <w:pPr>
        <w:jc w:val="both"/>
        <w:rPr>
          <w:b/>
        </w:rPr>
      </w:pPr>
    </w:p>
    <w:p w14:paraId="684449B9" w14:textId="77777777" w:rsidR="00AA5955" w:rsidRDefault="00AA5955" w:rsidP="001E5339">
      <w:pPr>
        <w:jc w:val="both"/>
        <w:rPr>
          <w:b/>
        </w:rPr>
      </w:pPr>
    </w:p>
    <w:p w14:paraId="1ECD2370" w14:textId="77777777" w:rsidR="00AA5955" w:rsidRDefault="00AA5955" w:rsidP="001E5339">
      <w:pPr>
        <w:jc w:val="both"/>
        <w:rPr>
          <w:b/>
        </w:rPr>
      </w:pPr>
    </w:p>
    <w:p w14:paraId="3ED54260" w14:textId="77777777" w:rsidR="00AA5955" w:rsidRDefault="00AA5955" w:rsidP="001E5339">
      <w:pPr>
        <w:jc w:val="both"/>
        <w:rPr>
          <w:b/>
        </w:rPr>
      </w:pPr>
    </w:p>
    <w:p w14:paraId="166029AE" w14:textId="77777777" w:rsidR="00AA5955" w:rsidRDefault="00AA5955" w:rsidP="001E5339">
      <w:pPr>
        <w:jc w:val="both"/>
        <w:rPr>
          <w:b/>
        </w:rPr>
      </w:pPr>
    </w:p>
    <w:p w14:paraId="022BB2A9" w14:textId="77777777" w:rsidR="00AA5955" w:rsidRDefault="00AA5955" w:rsidP="001E5339">
      <w:pPr>
        <w:jc w:val="both"/>
        <w:rPr>
          <w:b/>
        </w:rPr>
      </w:pPr>
    </w:p>
    <w:p w14:paraId="6171A495" w14:textId="77777777" w:rsidR="00AA5955" w:rsidRDefault="00AA5955" w:rsidP="001E5339">
      <w:pPr>
        <w:jc w:val="both"/>
        <w:rPr>
          <w:b/>
        </w:rPr>
      </w:pPr>
    </w:p>
    <w:p w14:paraId="5FC3C1E5" w14:textId="77777777" w:rsidR="00AA5955" w:rsidRDefault="00AA5955" w:rsidP="001E5339">
      <w:pPr>
        <w:jc w:val="both"/>
        <w:rPr>
          <w:b/>
        </w:rPr>
      </w:pPr>
    </w:p>
    <w:p w14:paraId="73F24FE5" w14:textId="77777777" w:rsidR="00AA5955" w:rsidRDefault="00AA5955" w:rsidP="001E5339">
      <w:pPr>
        <w:jc w:val="both"/>
        <w:rPr>
          <w:b/>
        </w:rPr>
      </w:pPr>
    </w:p>
    <w:p w14:paraId="31EFFF00" w14:textId="77777777" w:rsidR="00BB6076" w:rsidRDefault="00BB6076" w:rsidP="001E5339">
      <w:pPr>
        <w:jc w:val="both"/>
        <w:rPr>
          <w:b/>
        </w:rPr>
      </w:pPr>
    </w:p>
    <w:p w14:paraId="5F1671C0" w14:textId="77777777" w:rsidR="006A5932" w:rsidRPr="006A5932" w:rsidRDefault="006A5932" w:rsidP="001E5339">
      <w:pPr>
        <w:jc w:val="both"/>
        <w:rPr>
          <w:b/>
        </w:rPr>
      </w:pPr>
      <w:r w:rsidRPr="006A5932">
        <w:rPr>
          <w:b/>
        </w:rPr>
        <w:t>References</w:t>
      </w:r>
    </w:p>
    <w:p w14:paraId="7B16A8EA" w14:textId="77777777" w:rsidR="00F22964" w:rsidRDefault="00F22964" w:rsidP="001E5339">
      <w:pPr>
        <w:jc w:val="both"/>
      </w:pPr>
    </w:p>
    <w:p w14:paraId="2F5B14DE" w14:textId="77777777" w:rsidR="00C2657E" w:rsidRDefault="00C2657E" w:rsidP="001E5339">
      <w:pPr>
        <w:numPr>
          <w:ilvl w:val="0"/>
          <w:numId w:val="9"/>
        </w:numPr>
        <w:jc w:val="both"/>
      </w:pPr>
      <w:bookmarkStart w:id="0" w:name="_Ref259867753"/>
      <w:r>
        <w:t xml:space="preserve">J H Todd, C </w:t>
      </w:r>
      <w:proofErr w:type="spellStart"/>
      <w:proofErr w:type="gramStart"/>
      <w:r>
        <w:t>Dowle,M</w:t>
      </w:r>
      <w:proofErr w:type="spellEnd"/>
      <w:proofErr w:type="gramEnd"/>
      <w:r>
        <w:t xml:space="preserve"> R Williams et </w:t>
      </w:r>
      <w:proofErr w:type="spellStart"/>
      <w:r>
        <w:t>al,Confirmation</w:t>
      </w:r>
      <w:proofErr w:type="spellEnd"/>
      <w:r>
        <w:t xml:space="preserve"> of a prognostic index in primary breast </w:t>
      </w:r>
      <w:proofErr w:type="spellStart"/>
      <w:r>
        <w:t>cancer,Br.J.Cancer</w:t>
      </w:r>
      <w:proofErr w:type="spellEnd"/>
      <w:r>
        <w:t>(1987),56,489-492</w:t>
      </w:r>
      <w:bookmarkEnd w:id="0"/>
    </w:p>
    <w:p w14:paraId="543C45DD" w14:textId="77777777" w:rsidR="00C2657E" w:rsidRPr="00F22964" w:rsidRDefault="00C2657E" w:rsidP="001E5339">
      <w:pPr>
        <w:jc w:val="both"/>
      </w:pPr>
      <w:r>
        <w:lastRenderedPageBreak/>
        <w:t xml:space="preserve">    </w:t>
      </w:r>
    </w:p>
    <w:p w14:paraId="2751187C" w14:textId="77777777" w:rsidR="005F2180" w:rsidRDefault="005F2180" w:rsidP="001E5339">
      <w:pPr>
        <w:numPr>
          <w:ilvl w:val="0"/>
          <w:numId w:val="9"/>
        </w:numPr>
        <w:jc w:val="both"/>
      </w:pPr>
      <w:r>
        <w:t>Early and locally advanced breast cancer: diagnosis and treatment. NICE Clinical guideline 80,</w:t>
      </w:r>
      <w:r w:rsidR="00164E3B">
        <w:t xml:space="preserve"> ISBN 1-84629-900-4, </w:t>
      </w:r>
      <w:r>
        <w:t xml:space="preserve">Feb2009, </w:t>
      </w:r>
      <w:r w:rsidR="00DE5CA2">
        <w:t>p</w:t>
      </w:r>
      <w:r>
        <w:t>age 40</w:t>
      </w:r>
    </w:p>
    <w:p w14:paraId="6D2527C8" w14:textId="77777777" w:rsidR="005F2180" w:rsidRDefault="005F2180" w:rsidP="001E5339">
      <w:pPr>
        <w:ind w:left="360"/>
        <w:jc w:val="both"/>
      </w:pPr>
    </w:p>
    <w:p w14:paraId="45742296" w14:textId="77777777" w:rsidR="00DE5CA2" w:rsidRDefault="00DE5CA2" w:rsidP="001E5339">
      <w:pPr>
        <w:numPr>
          <w:ilvl w:val="0"/>
          <w:numId w:val="9"/>
        </w:numPr>
        <w:jc w:val="both"/>
      </w:pPr>
      <w:r>
        <w:t xml:space="preserve">Ranjeet Jeevan The national mastectomy and breast reconstruction Audit: 2008 and beyond, ABS at BASO –Yearbook </w:t>
      </w:r>
      <w:proofErr w:type="gramStart"/>
      <w:r>
        <w:t>2009,Jan</w:t>
      </w:r>
      <w:proofErr w:type="gramEnd"/>
      <w:r>
        <w:t xml:space="preserve"> 2009,pages 34-35</w:t>
      </w:r>
    </w:p>
    <w:p w14:paraId="135FA2F2" w14:textId="77777777" w:rsidR="00DE5CA2" w:rsidRDefault="00DE5CA2" w:rsidP="001E5339">
      <w:pPr>
        <w:jc w:val="both"/>
      </w:pPr>
    </w:p>
    <w:p w14:paraId="56FAD835" w14:textId="77777777" w:rsidR="00C2657E" w:rsidRDefault="00C2657E" w:rsidP="001E5339">
      <w:pPr>
        <w:numPr>
          <w:ilvl w:val="0"/>
          <w:numId w:val="9"/>
        </w:numPr>
        <w:jc w:val="both"/>
      </w:pPr>
      <w:r>
        <w:t xml:space="preserve">Robert X. </w:t>
      </w:r>
      <w:proofErr w:type="spellStart"/>
      <w:proofErr w:type="gramStart"/>
      <w:r>
        <w:t>Murphy,Wahab</w:t>
      </w:r>
      <w:proofErr w:type="spellEnd"/>
      <w:proofErr w:type="gramEnd"/>
      <w:r>
        <w:t xml:space="preserve"> </w:t>
      </w:r>
      <w:proofErr w:type="spellStart"/>
      <w:r>
        <w:t>S,Rovito</w:t>
      </w:r>
      <w:proofErr w:type="spellEnd"/>
      <w:r>
        <w:t xml:space="preserve"> </w:t>
      </w:r>
      <w:proofErr w:type="spellStart"/>
      <w:r>
        <w:t>PF,Kimmel</w:t>
      </w:r>
      <w:proofErr w:type="spellEnd"/>
      <w:r>
        <w:t xml:space="preserve"> SR, Kleinman </w:t>
      </w:r>
      <w:proofErr w:type="spellStart"/>
      <w:r>
        <w:t>LC,Young</w:t>
      </w:r>
      <w:proofErr w:type="spellEnd"/>
      <w:r>
        <w:t xml:space="preserve"> </w:t>
      </w:r>
      <w:proofErr w:type="spellStart"/>
      <w:r>
        <w:t>MJ,Impact</w:t>
      </w:r>
      <w:proofErr w:type="spellEnd"/>
      <w:r>
        <w:t xml:space="preserve"> of Immediate Breast Reconstruction on the local recurrence of breast cancer after mastectomy Annals </w:t>
      </w:r>
      <w:proofErr w:type="spellStart"/>
      <w:r>
        <w:t>Pla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2003;50:333-338</w:t>
      </w:r>
    </w:p>
    <w:p w14:paraId="70454F3B" w14:textId="77777777" w:rsidR="00C2657E" w:rsidRDefault="00C2657E" w:rsidP="001E5339">
      <w:pPr>
        <w:jc w:val="both"/>
      </w:pPr>
    </w:p>
    <w:p w14:paraId="2DFD6C71" w14:textId="77777777" w:rsidR="00760F5D" w:rsidRDefault="00760F5D" w:rsidP="001E5339">
      <w:pPr>
        <w:numPr>
          <w:ilvl w:val="0"/>
          <w:numId w:val="9"/>
        </w:numPr>
        <w:jc w:val="both"/>
      </w:pPr>
      <w:r>
        <w:t xml:space="preserve">Bohdan </w:t>
      </w:r>
      <w:proofErr w:type="gramStart"/>
      <w:r>
        <w:t>Pomahac,Abram</w:t>
      </w:r>
      <w:proofErr w:type="gramEnd"/>
      <w:r>
        <w:t xml:space="preserve"> Recht, James W May, Charles A Hergrueter and Sumner A Slavin, New Trends in Breast Cancer Management, Is the Era of Immediate Breast Reconstruction changing? Annals of </w:t>
      </w:r>
      <w:proofErr w:type="gramStart"/>
      <w:r>
        <w:t>surgery,Vol</w:t>
      </w:r>
      <w:proofErr w:type="gramEnd"/>
      <w:r>
        <w:t>244,No2,Aug 2006,pages 282-288</w:t>
      </w:r>
    </w:p>
    <w:p w14:paraId="6E35F501" w14:textId="77777777" w:rsidR="00760F5D" w:rsidRDefault="00760F5D" w:rsidP="001E5339">
      <w:pPr>
        <w:jc w:val="both"/>
      </w:pPr>
    </w:p>
    <w:p w14:paraId="27050BEB" w14:textId="77777777" w:rsidR="001528B1" w:rsidRDefault="001528B1" w:rsidP="001E5339">
      <w:pPr>
        <w:numPr>
          <w:ilvl w:val="0"/>
          <w:numId w:val="9"/>
        </w:numPr>
        <w:jc w:val="both"/>
      </w:pPr>
      <w:r>
        <w:t xml:space="preserve">Melinda M. Mortenson, Philip D. </w:t>
      </w:r>
      <w:proofErr w:type="spellStart"/>
      <w:proofErr w:type="gramStart"/>
      <w:r>
        <w:t>Schneider,Vijay</w:t>
      </w:r>
      <w:proofErr w:type="spellEnd"/>
      <w:proofErr w:type="gramEnd"/>
      <w:r>
        <w:t xml:space="preserve"> P Khatri et al, Immediate Breast Reconstruction after mastectomy increases wound complications. However, Initiation of Adjuvant Chemotherapy is not delayed, ARCH Surg/Vol </w:t>
      </w:r>
      <w:proofErr w:type="gramStart"/>
      <w:r>
        <w:t>139,Sept</w:t>
      </w:r>
      <w:proofErr w:type="gramEnd"/>
      <w:r>
        <w:t xml:space="preserve"> 2004,pages 988-991</w:t>
      </w:r>
    </w:p>
    <w:p w14:paraId="07A70739" w14:textId="77777777" w:rsidR="001528B1" w:rsidRDefault="001528B1" w:rsidP="001E5339">
      <w:pPr>
        <w:jc w:val="both"/>
      </w:pPr>
    </w:p>
    <w:p w14:paraId="2DCCC8CF" w14:textId="77777777" w:rsidR="001528B1" w:rsidRDefault="001528B1" w:rsidP="001528B1">
      <w:pPr>
        <w:numPr>
          <w:ilvl w:val="0"/>
          <w:numId w:val="9"/>
        </w:numPr>
        <w:jc w:val="both"/>
      </w:pPr>
      <w:proofErr w:type="spellStart"/>
      <w:r>
        <w:t>C.</w:t>
      </w:r>
      <w:proofErr w:type="gramStart"/>
      <w:r>
        <w:t>W.Taylor</w:t>
      </w:r>
      <w:proofErr w:type="gramEnd"/>
      <w:r>
        <w:t>,S.Kumar</w:t>
      </w:r>
      <w:proofErr w:type="spellEnd"/>
      <w:r>
        <w:t xml:space="preserve">, The effect of Immediate Breast Reconstruction on adjuvant </w:t>
      </w:r>
      <w:proofErr w:type="spellStart"/>
      <w:r>
        <w:t>chemotherapy,The</w:t>
      </w:r>
      <w:proofErr w:type="spellEnd"/>
      <w:r>
        <w:t xml:space="preserve"> Breast (2005)14,18-21</w:t>
      </w:r>
    </w:p>
    <w:p w14:paraId="24408265" w14:textId="77777777" w:rsidR="001528B1" w:rsidRDefault="001528B1" w:rsidP="006A5932">
      <w:pPr>
        <w:numPr>
          <w:ilvl w:val="0"/>
          <w:numId w:val="9"/>
        </w:numPr>
        <w:jc w:val="both"/>
      </w:pPr>
      <w:r>
        <w:t xml:space="preserve">Steven J </w:t>
      </w:r>
      <w:proofErr w:type="spellStart"/>
      <w:r>
        <w:t>Kronowitz</w:t>
      </w:r>
      <w:proofErr w:type="spellEnd"/>
      <w:r>
        <w:t xml:space="preserve"> &amp; Geoffrey Robb, Breast, Breast Reconstruction and adjuvant therapies Seminars in Plastic surgery/ Vol18 Number 2 </w:t>
      </w:r>
      <w:proofErr w:type="gramStart"/>
      <w:r>
        <w:t>2004,pages</w:t>
      </w:r>
      <w:proofErr w:type="gramEnd"/>
      <w:r>
        <w:t>105-115</w:t>
      </w:r>
    </w:p>
    <w:p w14:paraId="59D72452" w14:textId="77777777" w:rsidR="001528B1" w:rsidRDefault="001528B1" w:rsidP="001528B1">
      <w:pPr>
        <w:jc w:val="both"/>
      </w:pPr>
    </w:p>
    <w:p w14:paraId="2D995081" w14:textId="77777777" w:rsidR="001528B1" w:rsidRDefault="001528B1" w:rsidP="006A5932">
      <w:pPr>
        <w:numPr>
          <w:ilvl w:val="0"/>
          <w:numId w:val="9"/>
        </w:numPr>
        <w:jc w:val="both"/>
      </w:pPr>
      <w:r>
        <w:t xml:space="preserve">Yule G J, Concannon MJ   et al, </w:t>
      </w:r>
      <w:proofErr w:type="gramStart"/>
      <w:r>
        <w:t>Is</w:t>
      </w:r>
      <w:proofErr w:type="gramEnd"/>
      <w:r>
        <w:t xml:space="preserve"> there liability with chemotherapy following immediate breast reconstruction?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Reconstr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</w:t>
      </w:r>
      <w:proofErr w:type="gramStart"/>
      <w:r>
        <w:t>1996;97:969</w:t>
      </w:r>
      <w:proofErr w:type="gramEnd"/>
      <w:r>
        <w:t>-973</w:t>
      </w:r>
    </w:p>
    <w:p w14:paraId="6DB24239" w14:textId="77777777" w:rsidR="001528B1" w:rsidRDefault="001528B1" w:rsidP="001528B1">
      <w:pPr>
        <w:jc w:val="both"/>
      </w:pPr>
    </w:p>
    <w:p w14:paraId="6AA36AFB" w14:textId="77777777" w:rsidR="001528B1" w:rsidRDefault="001528B1" w:rsidP="001528B1">
      <w:pPr>
        <w:numPr>
          <w:ilvl w:val="0"/>
          <w:numId w:val="9"/>
        </w:numPr>
        <w:jc w:val="both"/>
      </w:pPr>
      <w:proofErr w:type="spellStart"/>
      <w:r>
        <w:t>Allweiss</w:t>
      </w:r>
      <w:proofErr w:type="spellEnd"/>
      <w:r>
        <w:t xml:space="preserve"> TM, Boisvert ME et al, Immediate reconstruction after mastectomy for breast cancer does not prolong the time to starting adjuvant chemotherapy. Am J Surg 2002: 183:218-221</w:t>
      </w:r>
    </w:p>
    <w:p w14:paraId="1A4C1D24" w14:textId="77777777" w:rsidR="001528B1" w:rsidRDefault="001528B1" w:rsidP="001528B1">
      <w:pPr>
        <w:jc w:val="both"/>
      </w:pPr>
    </w:p>
    <w:p w14:paraId="7506AE83" w14:textId="77777777" w:rsidR="00F760A8" w:rsidRDefault="00F760A8" w:rsidP="006A5932">
      <w:pPr>
        <w:numPr>
          <w:ilvl w:val="0"/>
          <w:numId w:val="9"/>
        </w:numPr>
        <w:jc w:val="both"/>
      </w:pPr>
      <w:r>
        <w:t xml:space="preserve">Maurice Y. </w:t>
      </w:r>
      <w:proofErr w:type="spellStart"/>
      <w:r>
        <w:t>Nahabedian</w:t>
      </w:r>
      <w:proofErr w:type="spellEnd"/>
      <w:r w:rsidR="00CC57C2">
        <w:t xml:space="preserve"> and </w:t>
      </w:r>
      <w:r>
        <w:t xml:space="preserve">Bahram </w:t>
      </w:r>
      <w:proofErr w:type="spellStart"/>
      <w:r>
        <w:t>Momen</w:t>
      </w:r>
      <w:proofErr w:type="spellEnd"/>
      <w:r>
        <w:t xml:space="preserve">, The impact of Breast Reconstruction on oncologic efficacy of radiation therapy A retrospective analysis, Annals of Plastic </w:t>
      </w:r>
      <w:proofErr w:type="spellStart"/>
      <w:proofErr w:type="gramStart"/>
      <w:r>
        <w:t>Surgery,Vol</w:t>
      </w:r>
      <w:proofErr w:type="spellEnd"/>
      <w:r>
        <w:t>.</w:t>
      </w:r>
      <w:proofErr w:type="gramEnd"/>
      <w:r>
        <w:t xml:space="preserve"> 60,No.3,March 2008</w:t>
      </w:r>
    </w:p>
    <w:p w14:paraId="1C61DFE3" w14:textId="77777777" w:rsidR="005D19C6" w:rsidRDefault="005D19C6" w:rsidP="005D19C6">
      <w:pPr>
        <w:numPr>
          <w:ilvl w:val="0"/>
          <w:numId w:val="9"/>
        </w:numPr>
        <w:jc w:val="both"/>
      </w:pPr>
      <w:r>
        <w:t xml:space="preserve">Agnes V. Tallet, </w:t>
      </w:r>
      <w:proofErr w:type="spellStart"/>
      <w:r>
        <w:t>Naji</w:t>
      </w:r>
      <w:proofErr w:type="spellEnd"/>
      <w:r>
        <w:t xml:space="preserve"> </w:t>
      </w:r>
      <w:proofErr w:type="spellStart"/>
      <w:proofErr w:type="gramStart"/>
      <w:r>
        <w:t>Salem,Vincent</w:t>
      </w:r>
      <w:proofErr w:type="spellEnd"/>
      <w:proofErr w:type="gramEnd"/>
      <w:r>
        <w:t xml:space="preserve"> </w:t>
      </w:r>
      <w:proofErr w:type="spellStart"/>
      <w:r>
        <w:t>Moutardier,Gilles</w:t>
      </w:r>
      <w:proofErr w:type="spellEnd"/>
      <w:r>
        <w:t xml:space="preserve"> </w:t>
      </w:r>
      <w:proofErr w:type="spellStart"/>
      <w:r>
        <w:t>Houvenaeghel</w:t>
      </w:r>
      <w:proofErr w:type="spellEnd"/>
      <w:r>
        <w:t xml:space="preserve"> et al, Radiotherapy and immediate two- stage breast Reconstruction with a tissue expander and implant: Complications and </w:t>
      </w:r>
      <w:proofErr w:type="spellStart"/>
      <w:r>
        <w:t>esthetic</w:t>
      </w:r>
      <w:proofErr w:type="spellEnd"/>
      <w:r>
        <w:t xml:space="preserve"> </w:t>
      </w:r>
      <w:proofErr w:type="spellStart"/>
      <w:r>
        <w:t>results,Int</w:t>
      </w:r>
      <w:proofErr w:type="spellEnd"/>
      <w:r>
        <w:t xml:space="preserve">. </w:t>
      </w:r>
      <w:proofErr w:type="spellStart"/>
      <w:r>
        <w:t>J.Radiation</w:t>
      </w:r>
      <w:proofErr w:type="spellEnd"/>
      <w:r>
        <w:t xml:space="preserve"> </w:t>
      </w:r>
      <w:proofErr w:type="spellStart"/>
      <w:r>
        <w:t>OncologyBio.Phys,Vol</w:t>
      </w:r>
      <w:proofErr w:type="spellEnd"/>
      <w:r>
        <w:t>. 57,No.1 pp.136-142,2003.</w:t>
      </w:r>
    </w:p>
    <w:p w14:paraId="71D6CA86" w14:textId="77777777" w:rsidR="005D19C6" w:rsidRDefault="0087401C" w:rsidP="00E12412">
      <w:pPr>
        <w:numPr>
          <w:ilvl w:val="0"/>
          <w:numId w:val="9"/>
        </w:numPr>
        <w:jc w:val="both"/>
      </w:pPr>
      <w:r>
        <w:t xml:space="preserve">Neal Handel, Melvin J. Silverstein, Ellen </w:t>
      </w:r>
      <w:proofErr w:type="spellStart"/>
      <w:r>
        <w:t>Waisman</w:t>
      </w:r>
      <w:proofErr w:type="spellEnd"/>
      <w:r>
        <w:t xml:space="preserve"> and James </w:t>
      </w:r>
      <w:proofErr w:type="spellStart"/>
      <w:proofErr w:type="gramStart"/>
      <w:r>
        <w:t>R.Waisman</w:t>
      </w:r>
      <w:proofErr w:type="spellEnd"/>
      <w:proofErr w:type="gramEnd"/>
      <w:r>
        <w:t>, Reasons Why Mastectomy Patients Do Not Have Breast reconstruction,Vol.86,no.6/Discussion,</w:t>
      </w:r>
      <w:r w:rsidRPr="00717AAE">
        <w:t xml:space="preserve"> </w:t>
      </w:r>
      <w:r>
        <w:t>Plastic and Reconstructive Surgery,</w:t>
      </w:r>
      <w:r w:rsidRPr="00717AAE">
        <w:t xml:space="preserve"> </w:t>
      </w:r>
      <w:r>
        <w:t>January 1994</w:t>
      </w:r>
    </w:p>
    <w:p w14:paraId="58246652" w14:textId="77777777" w:rsidR="0087401C" w:rsidRDefault="0087401C" w:rsidP="0087401C">
      <w:pPr>
        <w:numPr>
          <w:ilvl w:val="0"/>
          <w:numId w:val="9"/>
        </w:numPr>
        <w:jc w:val="both"/>
      </w:pPr>
      <w:r>
        <w:t xml:space="preserve">Wendy S. </w:t>
      </w:r>
      <w:proofErr w:type="gramStart"/>
      <w:r>
        <w:t>Schain,Breast</w:t>
      </w:r>
      <w:proofErr w:type="gramEnd"/>
      <w:r>
        <w:t xml:space="preserve"> Reconstruction Update of Psychosocial and Pragmatic Concerns, Cancer September 1 suppliment,vol.68 pages 1170-1175</w:t>
      </w:r>
    </w:p>
    <w:p w14:paraId="07764A82" w14:textId="77777777" w:rsidR="005F0679" w:rsidRDefault="005F0679" w:rsidP="005F0679">
      <w:pPr>
        <w:numPr>
          <w:ilvl w:val="0"/>
          <w:numId w:val="9"/>
        </w:numPr>
        <w:jc w:val="both"/>
      </w:pPr>
      <w:proofErr w:type="spellStart"/>
      <w:proofErr w:type="gramStart"/>
      <w:r>
        <w:t>K.Sandelin</w:t>
      </w:r>
      <w:proofErr w:type="gramEnd"/>
      <w:r>
        <w:t>,M.Wickman</w:t>
      </w:r>
      <w:proofErr w:type="spellEnd"/>
      <w:r>
        <w:t xml:space="preserve">, and </w:t>
      </w:r>
      <w:proofErr w:type="spellStart"/>
      <w:r>
        <w:t>A.M.Billgren</w:t>
      </w:r>
      <w:proofErr w:type="spellEnd"/>
      <w:r>
        <w:t>, Oncologic outcome after immediate breast reconstruction for invasive cancer: a long term study, The Breast (2004)13,210-218.</w:t>
      </w:r>
    </w:p>
    <w:p w14:paraId="60151439" w14:textId="77777777" w:rsidR="005F0679" w:rsidRDefault="005F0679" w:rsidP="005F0679">
      <w:pPr>
        <w:numPr>
          <w:ilvl w:val="0"/>
          <w:numId w:val="9"/>
        </w:numPr>
        <w:jc w:val="both"/>
      </w:pPr>
      <w:r>
        <w:t xml:space="preserve">Bryan C. Mandelson, Local recurrence of breast cancer: Its significance in relation to breast reconstruction, </w:t>
      </w:r>
      <w:proofErr w:type="spellStart"/>
      <w:r>
        <w:t>Auz</w:t>
      </w:r>
      <w:proofErr w:type="spellEnd"/>
      <w:r>
        <w:t>. NZ.J.Surg.Vol.52-no.</w:t>
      </w:r>
      <w:proofErr w:type="gramStart"/>
      <w:r>
        <w:t>1,February</w:t>
      </w:r>
      <w:proofErr w:type="gramEnd"/>
      <w:r>
        <w:t>,1982</w:t>
      </w:r>
    </w:p>
    <w:p w14:paraId="23B5B4FC" w14:textId="77777777" w:rsidR="0017093C" w:rsidRDefault="0017093C" w:rsidP="00E12412">
      <w:pPr>
        <w:numPr>
          <w:ilvl w:val="0"/>
          <w:numId w:val="9"/>
        </w:numPr>
        <w:jc w:val="both"/>
      </w:pPr>
      <w:proofErr w:type="spellStart"/>
      <w:proofErr w:type="gramStart"/>
      <w:r>
        <w:t>R.Barret</w:t>
      </w:r>
      <w:proofErr w:type="spellEnd"/>
      <w:proofErr w:type="gramEnd"/>
      <w:r>
        <w:t xml:space="preserve"> </w:t>
      </w:r>
      <w:proofErr w:type="spellStart"/>
      <w:r>
        <w:t>Noone,Thomas</w:t>
      </w:r>
      <w:proofErr w:type="spellEnd"/>
      <w:r>
        <w:t xml:space="preserve"> G Frazier Genevieve C et al,Recurrence of breast carcinoma following immediate reconstruction: A 13 –year review, Plastic and Reconstructive Surgery,</w:t>
      </w:r>
      <w:r w:rsidRPr="00717AAE">
        <w:t xml:space="preserve"> </w:t>
      </w:r>
      <w:r>
        <w:t>January 1994,Vol 93,No.1,pages 96-108</w:t>
      </w:r>
    </w:p>
    <w:p w14:paraId="0CECFF11" w14:textId="77777777" w:rsidR="00E12412" w:rsidRDefault="00E12412" w:rsidP="00E12412">
      <w:pPr>
        <w:numPr>
          <w:ilvl w:val="0"/>
          <w:numId w:val="9"/>
        </w:numPr>
        <w:jc w:val="both"/>
      </w:pPr>
      <w:r>
        <w:lastRenderedPageBreak/>
        <w:t xml:space="preserve">Howard N </w:t>
      </w:r>
      <w:proofErr w:type="spellStart"/>
      <w:r>
        <w:t>Langstein</w:t>
      </w:r>
      <w:proofErr w:type="spellEnd"/>
      <w:r>
        <w:t xml:space="preserve"> Stephen S Kroll et al, Breast cancer recurrence after </w:t>
      </w:r>
      <w:proofErr w:type="gramStart"/>
      <w:r>
        <w:t>immediate  reconstruction</w:t>
      </w:r>
      <w:proofErr w:type="gramEnd"/>
      <w:r>
        <w:t>:</w:t>
      </w:r>
      <w:r w:rsidR="003A47E9">
        <w:t xml:space="preserve"> P</w:t>
      </w:r>
      <w:r>
        <w:t xml:space="preserve">atterns and </w:t>
      </w:r>
      <w:r w:rsidR="00781783">
        <w:t>S</w:t>
      </w:r>
      <w:r>
        <w:t>ignificance,</w:t>
      </w:r>
      <w:r w:rsidRPr="00E12412">
        <w:t xml:space="preserve"> </w:t>
      </w:r>
      <w:r>
        <w:t>Plastic and Reconstructive Surgery,</w:t>
      </w:r>
      <w:r w:rsidRPr="00717AAE">
        <w:t xml:space="preserve"> </w:t>
      </w:r>
      <w:r>
        <w:t xml:space="preserve">February 2003,Vol. 111, </w:t>
      </w:r>
      <w:r w:rsidR="00E61305">
        <w:t>No.2</w:t>
      </w:r>
      <w:r>
        <w:t xml:space="preserve">,pages </w:t>
      </w:r>
      <w:r w:rsidR="00E61305">
        <w:t>712-720</w:t>
      </w:r>
    </w:p>
    <w:p w14:paraId="7B01E8A4" w14:textId="77777777" w:rsidR="00E61305" w:rsidRDefault="00DE28AC" w:rsidP="006A5932">
      <w:pPr>
        <w:numPr>
          <w:ilvl w:val="0"/>
          <w:numId w:val="9"/>
        </w:numPr>
        <w:jc w:val="both"/>
      </w:pPr>
      <w:r>
        <w:t xml:space="preserve">Mark D. </w:t>
      </w:r>
      <w:r w:rsidR="0056048E">
        <w:t>Gilliland, Ronald</w:t>
      </w:r>
      <w:r w:rsidR="00781783">
        <w:t xml:space="preserve"> M. Barton and</w:t>
      </w:r>
      <w:r>
        <w:t xml:space="preserve"> Edward M. Copeland, The Implications of local recurrence of breast cancer as the first site of therapeutic failure,</w:t>
      </w:r>
      <w:r w:rsidR="00E61305">
        <w:t xml:space="preserve"> Annals Surg.</w:t>
      </w:r>
      <w:r w:rsidR="00E61305" w:rsidRPr="00E61305">
        <w:t xml:space="preserve"> </w:t>
      </w:r>
      <w:r w:rsidR="00E61305">
        <w:t>March 1983 Vol.197. No.3,284-287</w:t>
      </w:r>
    </w:p>
    <w:p w14:paraId="1346E7FF" w14:textId="77777777" w:rsidR="00DE28AC" w:rsidRDefault="00E67DDF" w:rsidP="006A5932">
      <w:pPr>
        <w:numPr>
          <w:ilvl w:val="0"/>
          <w:numId w:val="9"/>
        </w:numPr>
        <w:jc w:val="both"/>
      </w:pPr>
      <w:proofErr w:type="spellStart"/>
      <w:proofErr w:type="gramStart"/>
      <w:r>
        <w:t>Holley,Daniel</w:t>
      </w:r>
      <w:proofErr w:type="spellEnd"/>
      <w:proofErr w:type="gramEnd"/>
      <w:r>
        <w:t xml:space="preserve"> </w:t>
      </w:r>
      <w:proofErr w:type="spellStart"/>
      <w:r>
        <w:t>T,Toursarkissian</w:t>
      </w:r>
      <w:proofErr w:type="spellEnd"/>
      <w:r>
        <w:t xml:space="preserve"> and </w:t>
      </w:r>
      <w:proofErr w:type="spellStart"/>
      <w:r w:rsidR="00DE28AC">
        <w:t>Boulos,</w:t>
      </w:r>
      <w:r w:rsidR="00661EDA">
        <w:t>The</w:t>
      </w:r>
      <w:proofErr w:type="spellEnd"/>
      <w:r w:rsidR="00661EDA">
        <w:t xml:space="preserve"> ramifications of Immediate Breast Reconstruction in the management of breast </w:t>
      </w:r>
      <w:r w:rsidR="0056048E">
        <w:t>cancer, American</w:t>
      </w:r>
      <w:r w:rsidR="00661EDA">
        <w:t xml:space="preserve"> Surgeon; Jan1995,Vol.61Issue1,p60,6p.</w:t>
      </w:r>
    </w:p>
    <w:p w14:paraId="223EE466" w14:textId="77777777" w:rsidR="00661EDA" w:rsidRDefault="00661EDA" w:rsidP="006A5932">
      <w:pPr>
        <w:numPr>
          <w:ilvl w:val="0"/>
          <w:numId w:val="9"/>
        </w:numPr>
        <w:jc w:val="both"/>
      </w:pPr>
      <w:r>
        <w:t xml:space="preserve">G E </w:t>
      </w:r>
      <w:proofErr w:type="spellStart"/>
      <w:proofErr w:type="gramStart"/>
      <w:r>
        <w:t>Spyrou,</w:t>
      </w:r>
      <w:r w:rsidR="00E67DDF">
        <w:t>J</w:t>
      </w:r>
      <w:proofErr w:type="spellEnd"/>
      <w:proofErr w:type="gramEnd"/>
      <w:r w:rsidR="00E67DDF">
        <w:t xml:space="preserve"> </w:t>
      </w:r>
      <w:proofErr w:type="spellStart"/>
      <w:r w:rsidR="00E67DDF">
        <w:t>Cerqueiro,O</w:t>
      </w:r>
      <w:proofErr w:type="spellEnd"/>
      <w:r w:rsidR="00E67DDF">
        <w:t xml:space="preserve"> G </w:t>
      </w:r>
      <w:proofErr w:type="spellStart"/>
      <w:r w:rsidR="00E67DDF">
        <w:t>Titley</w:t>
      </w:r>
      <w:proofErr w:type="spellEnd"/>
      <w:r w:rsidR="00E67DDF">
        <w:t xml:space="preserve"> and</w:t>
      </w:r>
      <w:r>
        <w:t xml:space="preserve"> MFT Fatah, A survey of general surgeon’s attitudes towards breast reconstruction after </w:t>
      </w:r>
      <w:r w:rsidR="0056048E">
        <w:t>mastectomy, Ann</w:t>
      </w:r>
      <w:r>
        <w:t xml:space="preserve"> R Coll Surg Engl 1998;80:178-183</w:t>
      </w:r>
    </w:p>
    <w:p w14:paraId="61CCF0D3" w14:textId="77777777" w:rsidR="00717AAE" w:rsidRDefault="00717AAE" w:rsidP="006A5932">
      <w:pPr>
        <w:numPr>
          <w:ilvl w:val="0"/>
          <w:numId w:val="9"/>
        </w:numPr>
        <w:jc w:val="both"/>
      </w:pPr>
      <w:r>
        <w:t xml:space="preserve">Abram Recht, Daniel F. Hayes, Local Recurrence Following </w:t>
      </w:r>
      <w:r w:rsidR="0056048E">
        <w:t>mastectomy, Breast</w:t>
      </w:r>
      <w:r>
        <w:t xml:space="preserve"> </w:t>
      </w:r>
      <w:r w:rsidR="0056048E">
        <w:t>Diseases, Chapter</w:t>
      </w:r>
      <w:r>
        <w:t xml:space="preserve"> 20, pages527-540</w:t>
      </w:r>
    </w:p>
    <w:p w14:paraId="0E3FAB58" w14:textId="77777777" w:rsidR="00DF5314" w:rsidRDefault="00717AAE" w:rsidP="00DF5314">
      <w:pPr>
        <w:numPr>
          <w:ilvl w:val="0"/>
          <w:numId w:val="9"/>
        </w:numPr>
        <w:jc w:val="both"/>
      </w:pPr>
      <w:r>
        <w:t xml:space="preserve"> Jeffrey A. </w:t>
      </w:r>
      <w:proofErr w:type="spellStart"/>
      <w:r>
        <w:t>Ascherman</w:t>
      </w:r>
      <w:proofErr w:type="spellEnd"/>
      <w:r>
        <w:t xml:space="preserve">, </w:t>
      </w:r>
      <w:r w:rsidR="00295768">
        <w:t xml:space="preserve">Matthew m </w:t>
      </w:r>
      <w:proofErr w:type="spellStart"/>
      <w:proofErr w:type="gramStart"/>
      <w:r w:rsidR="00295768">
        <w:t>Hanasono,Martin</w:t>
      </w:r>
      <w:proofErr w:type="spellEnd"/>
      <w:proofErr w:type="gramEnd"/>
      <w:r w:rsidR="00295768">
        <w:t xml:space="preserve"> I Newman and </w:t>
      </w:r>
      <w:r>
        <w:t>Duncan B. Hughes et al, Implant Reconstruction in breast cancer patients treated with Radiation therapy,</w:t>
      </w:r>
      <w:r w:rsidR="00DF5314" w:rsidRPr="00DF5314">
        <w:t xml:space="preserve"> </w:t>
      </w:r>
      <w:r w:rsidR="00DF5314">
        <w:t>Plastic and Reconstructive Surgery,</w:t>
      </w:r>
      <w:r w:rsidR="00DF5314" w:rsidRPr="00717AAE">
        <w:t xml:space="preserve"> </w:t>
      </w:r>
      <w:r w:rsidR="00DF5314">
        <w:t>February 2006,Vo</w:t>
      </w:r>
      <w:r w:rsidR="00E30B15">
        <w:t>.</w:t>
      </w:r>
      <w:r w:rsidR="00DF5314">
        <w:t>l 117, ,pages 359-365</w:t>
      </w:r>
    </w:p>
    <w:p w14:paraId="3B9CF688" w14:textId="77777777" w:rsidR="00717AAE" w:rsidRDefault="00E30B15" w:rsidP="006A5932">
      <w:pPr>
        <w:numPr>
          <w:ilvl w:val="0"/>
          <w:numId w:val="9"/>
        </w:numPr>
        <w:jc w:val="both"/>
      </w:pPr>
      <w:r>
        <w:t xml:space="preserve">David E. </w:t>
      </w:r>
      <w:proofErr w:type="spellStart"/>
      <w:r>
        <w:t>Rivadeneira</w:t>
      </w:r>
      <w:proofErr w:type="spellEnd"/>
      <w:r w:rsidR="0056048E">
        <w:t xml:space="preserve">, </w:t>
      </w:r>
      <w:proofErr w:type="spellStart"/>
      <w:r w:rsidR="00295768">
        <w:t>Rache</w:t>
      </w:r>
      <w:proofErr w:type="spellEnd"/>
      <w:r w:rsidR="00295768">
        <w:t xml:space="preserve"> M Simmons and Susan Kersey Fish</w:t>
      </w:r>
      <w:r>
        <w:t xml:space="preserve">, Skin-sparing mastectomy with Immediate Breast Reconstruction: A Critical analysis of local </w:t>
      </w:r>
      <w:r w:rsidR="0056048E">
        <w:t>recurrence. The cancer Journal, Volume</w:t>
      </w:r>
      <w:r>
        <w:t xml:space="preserve"> 6</w:t>
      </w:r>
      <w:r w:rsidR="0056048E">
        <w:t>, No.5, September</w:t>
      </w:r>
      <w:r>
        <w:t>/October 2000</w:t>
      </w:r>
      <w:r w:rsidR="0056048E">
        <w:t>, pages331</w:t>
      </w:r>
      <w:r>
        <w:t>-335.</w:t>
      </w:r>
    </w:p>
    <w:p w14:paraId="0FAA95A7" w14:textId="77777777" w:rsidR="00E30B15" w:rsidRDefault="00E30B15" w:rsidP="00E30B15">
      <w:pPr>
        <w:numPr>
          <w:ilvl w:val="0"/>
          <w:numId w:val="9"/>
        </w:numPr>
        <w:jc w:val="both"/>
      </w:pPr>
      <w:r>
        <w:t xml:space="preserve">Summer </w:t>
      </w:r>
      <w:proofErr w:type="spellStart"/>
      <w:proofErr w:type="gramStart"/>
      <w:r>
        <w:t>A.Slavin</w:t>
      </w:r>
      <w:proofErr w:type="spellEnd"/>
      <w:proofErr w:type="gramEnd"/>
      <w:r w:rsidR="0056048E">
        <w:t xml:space="preserve">, </w:t>
      </w:r>
      <w:r w:rsidR="00295768">
        <w:t xml:space="preserve">Stuart J </w:t>
      </w:r>
      <w:proofErr w:type="spellStart"/>
      <w:r w:rsidR="00295768">
        <w:t>Schnitt</w:t>
      </w:r>
      <w:proofErr w:type="spellEnd"/>
      <w:r w:rsidR="00295768">
        <w:t>, Rosema</w:t>
      </w:r>
      <w:r w:rsidR="0017639D">
        <w:t xml:space="preserve">ry B </w:t>
      </w:r>
      <w:proofErr w:type="spellStart"/>
      <w:r w:rsidR="0017639D">
        <w:t>Duda</w:t>
      </w:r>
      <w:proofErr w:type="spellEnd"/>
      <w:r w:rsidR="0017639D">
        <w:t xml:space="preserve">, </w:t>
      </w:r>
      <w:r w:rsidR="00295768">
        <w:t xml:space="preserve"> </w:t>
      </w:r>
      <w:r>
        <w:t>et al, Skin-sparing mastectomy with immediate reconstruction: Oncologic risks and aesthetic results in patients with early-stage breast cancer,</w:t>
      </w:r>
      <w:r w:rsidRPr="00E30B15">
        <w:t xml:space="preserve"> </w:t>
      </w:r>
      <w:r>
        <w:t>Plastic and Reconstructive Surgery,</w:t>
      </w:r>
      <w:r w:rsidRPr="00717AAE">
        <w:t xml:space="preserve"> </w:t>
      </w:r>
      <w:r>
        <w:t>july1998</w:t>
      </w:r>
      <w:r w:rsidR="0056048E">
        <w:t>, Vol</w:t>
      </w:r>
      <w:r>
        <w:t>. 102, No.1,pages 49-62.</w:t>
      </w:r>
    </w:p>
    <w:p w14:paraId="1E3BDDC5" w14:textId="77777777" w:rsidR="002C38C3" w:rsidRDefault="002C38C3" w:rsidP="00E30B15">
      <w:pPr>
        <w:numPr>
          <w:ilvl w:val="0"/>
          <w:numId w:val="9"/>
        </w:numPr>
        <w:jc w:val="both"/>
      </w:pPr>
      <w:proofErr w:type="spellStart"/>
      <w:r>
        <w:t>SumnerA</w:t>
      </w:r>
      <w:proofErr w:type="spellEnd"/>
      <w:r>
        <w:t xml:space="preserve"> </w:t>
      </w:r>
      <w:proofErr w:type="spellStart"/>
      <w:proofErr w:type="gramStart"/>
      <w:r>
        <w:t>Slavin,Susan</w:t>
      </w:r>
      <w:proofErr w:type="spellEnd"/>
      <w:proofErr w:type="gramEnd"/>
      <w:r>
        <w:t xml:space="preserve"> M Love and  Robert Goldwyn, Recurrent Breast Cancer Following Immediate Reconstruction with Myocutaneus Flaps, Plastic and Reconstructive </w:t>
      </w:r>
      <w:proofErr w:type="spellStart"/>
      <w:r>
        <w:t>surgery,May</w:t>
      </w:r>
      <w:proofErr w:type="spellEnd"/>
      <w:r>
        <w:t xml:space="preserve"> 1994</w:t>
      </w:r>
      <w:r w:rsidR="00780C54">
        <w:t>, pages 1191-1204</w:t>
      </w:r>
    </w:p>
    <w:p w14:paraId="79B78795" w14:textId="77777777" w:rsidR="00E30B15" w:rsidRDefault="00E30B15" w:rsidP="00E30B15">
      <w:pPr>
        <w:numPr>
          <w:ilvl w:val="0"/>
          <w:numId w:val="9"/>
        </w:numPr>
        <w:jc w:val="both"/>
      </w:pPr>
      <w:r>
        <w:t>Richard H. Bensimon</w:t>
      </w:r>
      <w:r w:rsidR="0017639D">
        <w:t xml:space="preserve"> </w:t>
      </w:r>
      <w:proofErr w:type="gramStart"/>
      <w:r w:rsidR="0017639D">
        <w:t xml:space="preserve">and </w:t>
      </w:r>
      <w:r>
        <w:t xml:space="preserve"> John</w:t>
      </w:r>
      <w:proofErr w:type="gramEnd"/>
      <w:r>
        <w:t xml:space="preserve"> M.Bergmeyer</w:t>
      </w:r>
      <w:r w:rsidR="00AD15CB">
        <w:t>, Improved aesthetics in breast reconstruction: modified mastectomy incision and immediate autolologous tissue reconstruction.</w:t>
      </w:r>
      <w:r w:rsidR="0017639D">
        <w:t xml:space="preserve"> Ann </w:t>
      </w:r>
      <w:proofErr w:type="spellStart"/>
      <w:r w:rsidR="0017639D">
        <w:t>Plast</w:t>
      </w:r>
      <w:proofErr w:type="spellEnd"/>
      <w:r w:rsidR="0017639D">
        <w:t xml:space="preserve"> surg</w:t>
      </w:r>
      <w:proofErr w:type="gramStart"/>
      <w:r w:rsidR="0017639D">
        <w:t>1995;34:229</w:t>
      </w:r>
      <w:proofErr w:type="gramEnd"/>
      <w:r w:rsidR="0017639D">
        <w:t>-235</w:t>
      </w:r>
    </w:p>
    <w:p w14:paraId="10D9681A" w14:textId="77777777" w:rsidR="00E30B15" w:rsidRDefault="00AD15CB" w:rsidP="006A5932">
      <w:pPr>
        <w:numPr>
          <w:ilvl w:val="0"/>
          <w:numId w:val="9"/>
        </w:numPr>
        <w:jc w:val="both"/>
      </w:pPr>
      <w:r>
        <w:t xml:space="preserve">Gregory S. </w:t>
      </w:r>
      <w:proofErr w:type="spellStart"/>
      <w:r>
        <w:t>Georgiade</w:t>
      </w:r>
      <w:proofErr w:type="spellEnd"/>
      <w:r>
        <w:t>,</w:t>
      </w:r>
      <w:r w:rsidR="0017639D">
        <w:t xml:space="preserve"> Ronald </w:t>
      </w:r>
      <w:proofErr w:type="spellStart"/>
      <w:proofErr w:type="gramStart"/>
      <w:r w:rsidR="0017639D">
        <w:t>Riefkohl,Edwin</w:t>
      </w:r>
      <w:proofErr w:type="spellEnd"/>
      <w:proofErr w:type="gramEnd"/>
      <w:r w:rsidR="0017639D">
        <w:t xml:space="preserve"> Cox</w:t>
      </w:r>
      <w:r>
        <w:t xml:space="preserve"> et al, Long-term clinical outcome of  immediate reconstruction after mastectomy,</w:t>
      </w:r>
      <w:r w:rsidRPr="00AD15CB">
        <w:t xml:space="preserve"> </w:t>
      </w:r>
      <w:r>
        <w:t>Plastic and Reconstructive Surgery,</w:t>
      </w:r>
      <w:r w:rsidRPr="00717AAE">
        <w:t xml:space="preserve"> </w:t>
      </w:r>
      <w:r>
        <w:t>September 1985,Vol. 76, No.3,pages 415-</w:t>
      </w:r>
      <w:r w:rsidR="003C4768">
        <w:t>420.</w:t>
      </w:r>
    </w:p>
    <w:p w14:paraId="7F7B626B" w14:textId="77777777" w:rsidR="00B25081" w:rsidRDefault="00B25081" w:rsidP="00B25081">
      <w:pPr>
        <w:numPr>
          <w:ilvl w:val="0"/>
          <w:numId w:val="9"/>
        </w:numPr>
        <w:jc w:val="both"/>
      </w:pPr>
      <w:r>
        <w:t xml:space="preserve">Michael </w:t>
      </w:r>
      <w:proofErr w:type="spellStart"/>
      <w:proofErr w:type="gramStart"/>
      <w:r>
        <w:t>Bezuhly,Claire</w:t>
      </w:r>
      <w:proofErr w:type="spellEnd"/>
      <w:proofErr w:type="gramEnd"/>
      <w:r>
        <w:t xml:space="preserve"> </w:t>
      </w:r>
      <w:proofErr w:type="spellStart"/>
      <w:r>
        <w:t>Temple,Leif</w:t>
      </w:r>
      <w:proofErr w:type="spellEnd"/>
      <w:r>
        <w:t xml:space="preserve"> J. </w:t>
      </w:r>
      <w:proofErr w:type="spellStart"/>
      <w:r>
        <w:t>Sigurdson,Roger</w:t>
      </w:r>
      <w:proofErr w:type="spellEnd"/>
      <w:r>
        <w:t xml:space="preserve"> B. </w:t>
      </w:r>
      <w:proofErr w:type="spellStart"/>
      <w:r>
        <w:t>Davis,Gordon</w:t>
      </w:r>
      <w:proofErr w:type="spellEnd"/>
      <w:r>
        <w:t xml:space="preserve"> </w:t>
      </w:r>
      <w:proofErr w:type="spellStart"/>
      <w:r>
        <w:t>Flowerdew,E</w:t>
      </w:r>
      <w:proofErr w:type="spellEnd"/>
      <w:r>
        <w:t xml:space="preserve">. Francis </w:t>
      </w:r>
      <w:proofErr w:type="spellStart"/>
      <w:r>
        <w:t>Cook,Immediate</w:t>
      </w:r>
      <w:proofErr w:type="spellEnd"/>
      <w:r>
        <w:t xml:space="preserve"> Postmastectomy Reconstruction Is Associated With Improved  Breast cancer-Specific Survival,Cancer,October15,2009,4648-4654</w:t>
      </w:r>
    </w:p>
    <w:p w14:paraId="3B7B8CD2" w14:textId="77777777" w:rsidR="00B25081" w:rsidRDefault="00B25081" w:rsidP="00B25081">
      <w:pPr>
        <w:numPr>
          <w:ilvl w:val="0"/>
          <w:numId w:val="9"/>
        </w:numPr>
        <w:jc w:val="both"/>
      </w:pPr>
      <w:r>
        <w:t xml:space="preserve">Colleen </w:t>
      </w:r>
      <w:proofErr w:type="spellStart"/>
      <w:proofErr w:type="gramStart"/>
      <w:r>
        <w:t>M.McCarthy</w:t>
      </w:r>
      <w:proofErr w:type="gramEnd"/>
      <w:r>
        <w:t>,Andrea</w:t>
      </w:r>
      <w:proofErr w:type="spellEnd"/>
      <w:r>
        <w:t xml:space="preserve"> L. </w:t>
      </w:r>
      <w:proofErr w:type="spellStart"/>
      <w:r>
        <w:t>Pusic,Lisa</w:t>
      </w:r>
      <w:proofErr w:type="spellEnd"/>
      <w:r>
        <w:t xml:space="preserve"> </w:t>
      </w:r>
      <w:proofErr w:type="spellStart"/>
      <w:r>
        <w:t>Sclafani</w:t>
      </w:r>
      <w:proofErr w:type="spellEnd"/>
      <w:r>
        <w:t xml:space="preserve"> et </w:t>
      </w:r>
      <w:proofErr w:type="spellStart"/>
      <w:r>
        <w:t>al,Breast</w:t>
      </w:r>
      <w:proofErr w:type="spellEnd"/>
      <w:r>
        <w:t xml:space="preserve"> Cancer Recurrence following Prosthetic, Postmastectomy Reconstruction: </w:t>
      </w:r>
      <w:proofErr w:type="spellStart"/>
      <w:r>
        <w:t>Incidence,Detection</w:t>
      </w:r>
      <w:proofErr w:type="spellEnd"/>
      <w:r>
        <w:t xml:space="preserve"> and Treatment, Plastic and </w:t>
      </w:r>
      <w:proofErr w:type="spellStart"/>
      <w:r>
        <w:t>Rreconstructive</w:t>
      </w:r>
      <w:proofErr w:type="spellEnd"/>
      <w:r>
        <w:t xml:space="preserve"> </w:t>
      </w:r>
      <w:proofErr w:type="spellStart"/>
      <w:r>
        <w:t>Surgery,February</w:t>
      </w:r>
      <w:proofErr w:type="spellEnd"/>
      <w:r>
        <w:t xml:space="preserve"> 2008,381-388</w:t>
      </w:r>
    </w:p>
    <w:p w14:paraId="0DD62823" w14:textId="77777777" w:rsidR="00C00B1B" w:rsidRDefault="00C00B1B" w:rsidP="006A5932">
      <w:pPr>
        <w:numPr>
          <w:ilvl w:val="0"/>
          <w:numId w:val="9"/>
        </w:numPr>
        <w:jc w:val="both"/>
      </w:pPr>
      <w:r>
        <w:t xml:space="preserve">J.Y. </w:t>
      </w:r>
      <w:proofErr w:type="spellStart"/>
      <w:proofErr w:type="gramStart"/>
      <w:r>
        <w:t>Petit,O</w:t>
      </w:r>
      <w:proofErr w:type="gramEnd"/>
      <w:r>
        <w:t>.Gentilini,N.Rotmensz,P.Rey</w:t>
      </w:r>
      <w:proofErr w:type="spellEnd"/>
      <w:r>
        <w:t xml:space="preserve"> et al, Oncological results of immediate breast reconstruction: long term follow- up of a large series at a single </w:t>
      </w:r>
      <w:proofErr w:type="spellStart"/>
      <w:r>
        <w:t>institution,Breast</w:t>
      </w:r>
      <w:proofErr w:type="spellEnd"/>
      <w:r>
        <w:t xml:space="preserve"> Cancer Res Treat(2008)112:545-549</w:t>
      </w:r>
    </w:p>
    <w:p w14:paraId="6BCE8401" w14:textId="4893E8C5" w:rsidR="00773229" w:rsidRDefault="00773229" w:rsidP="001528B1">
      <w:pPr>
        <w:ind w:left="360"/>
        <w:jc w:val="both"/>
      </w:pPr>
    </w:p>
    <w:p w14:paraId="6D55B125" w14:textId="0B79C1A5" w:rsidR="0049466B" w:rsidRDefault="0049466B" w:rsidP="001528B1">
      <w:pPr>
        <w:ind w:left="360"/>
        <w:jc w:val="both"/>
      </w:pPr>
    </w:p>
    <w:p w14:paraId="59068B51" w14:textId="6B1B7AFD" w:rsidR="0049466B" w:rsidRDefault="0049466B" w:rsidP="001528B1">
      <w:pPr>
        <w:ind w:left="360"/>
        <w:jc w:val="both"/>
      </w:pPr>
    </w:p>
    <w:p w14:paraId="184A3094" w14:textId="71364A32" w:rsidR="0049466B" w:rsidRDefault="0049466B" w:rsidP="001528B1">
      <w:pPr>
        <w:ind w:left="360"/>
        <w:jc w:val="both"/>
      </w:pPr>
    </w:p>
    <w:p w14:paraId="4AC9555A" w14:textId="28DC3AD5" w:rsidR="0049466B" w:rsidRDefault="0049466B" w:rsidP="001528B1">
      <w:pPr>
        <w:ind w:left="360"/>
        <w:jc w:val="both"/>
      </w:pPr>
    </w:p>
    <w:p w14:paraId="23C9CEC1" w14:textId="100D7FA2" w:rsidR="0049466B" w:rsidRDefault="0049466B" w:rsidP="001528B1">
      <w:pPr>
        <w:ind w:left="360"/>
        <w:jc w:val="both"/>
      </w:pPr>
    </w:p>
    <w:p w14:paraId="70E62232" w14:textId="47BAC8C8" w:rsidR="0049466B" w:rsidRDefault="0049466B" w:rsidP="001528B1">
      <w:pPr>
        <w:ind w:left="360"/>
        <w:jc w:val="both"/>
      </w:pPr>
    </w:p>
    <w:p w14:paraId="63B57ACB" w14:textId="4434AB4B" w:rsidR="0049466B" w:rsidRDefault="0049466B" w:rsidP="001528B1">
      <w:pPr>
        <w:ind w:left="360"/>
        <w:jc w:val="both"/>
      </w:pPr>
    </w:p>
    <w:p w14:paraId="339C2527" w14:textId="084A18E5" w:rsidR="0049466B" w:rsidRDefault="0049466B" w:rsidP="001528B1">
      <w:pPr>
        <w:ind w:left="360"/>
        <w:jc w:val="both"/>
      </w:pPr>
    </w:p>
    <w:p w14:paraId="1DA9C6DC" w14:textId="153EAC35" w:rsidR="0049466B" w:rsidRDefault="0049466B" w:rsidP="001528B1">
      <w:pPr>
        <w:ind w:left="360"/>
        <w:jc w:val="both"/>
      </w:pPr>
    </w:p>
    <w:p w14:paraId="20612F45" w14:textId="4B5F1E84" w:rsidR="0049466B" w:rsidRDefault="0049466B" w:rsidP="001528B1">
      <w:pPr>
        <w:ind w:left="360"/>
        <w:jc w:val="both"/>
      </w:pPr>
    </w:p>
    <w:p w14:paraId="2D629CD4" w14:textId="77777777" w:rsidR="0049466B" w:rsidRDefault="0049466B" w:rsidP="0049466B">
      <w:pPr>
        <w:spacing w:line="480" w:lineRule="auto"/>
        <w:rPr>
          <w:b/>
        </w:rPr>
      </w:pPr>
    </w:p>
    <w:p w14:paraId="3B2746CF" w14:textId="386F79A8" w:rsidR="0049466B" w:rsidRDefault="0049466B" w:rsidP="0049466B">
      <w:pPr>
        <w:spacing w:line="480" w:lineRule="auto"/>
      </w:pPr>
      <w:r>
        <w:rPr>
          <w:b/>
        </w:rPr>
        <w:t xml:space="preserve">Figure </w:t>
      </w:r>
      <w:r w:rsidRPr="00E27432">
        <w:rPr>
          <w:b/>
        </w:rPr>
        <w:t>1</w:t>
      </w:r>
      <w:r w:rsidRPr="00E27432">
        <w:t xml:space="preserve">. </w:t>
      </w:r>
      <w:r>
        <w:t>Distribution of types of surgery methodology applied in patients undergoing IBR.</w:t>
      </w:r>
      <w:r w:rsidRPr="0057091D">
        <w:t xml:space="preserve"> </w:t>
      </w:r>
      <w:r w:rsidRPr="0057091D">
        <w:rPr>
          <w:noProof/>
        </w:rPr>
        <w:drawing>
          <wp:inline distT="0" distB="0" distL="0" distR="0" wp14:anchorId="179ABE98" wp14:editId="1C0CF714">
            <wp:extent cx="5426710" cy="3498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C36" w14:textId="77777777" w:rsidR="0049466B" w:rsidRDefault="0049466B" w:rsidP="0049466B">
      <w:pPr>
        <w:spacing w:line="480" w:lineRule="auto"/>
      </w:pPr>
    </w:p>
    <w:p w14:paraId="277CABBB" w14:textId="77777777" w:rsidR="0049466B" w:rsidRDefault="0049466B" w:rsidP="0049466B">
      <w:pPr>
        <w:spacing w:line="480" w:lineRule="auto"/>
      </w:pPr>
    </w:p>
    <w:p w14:paraId="74D4DF00" w14:textId="77777777" w:rsidR="0049466B" w:rsidRDefault="0049466B" w:rsidP="0049466B">
      <w:pPr>
        <w:spacing w:line="480" w:lineRule="auto"/>
      </w:pPr>
    </w:p>
    <w:p w14:paraId="257BFA70" w14:textId="77777777" w:rsidR="0049466B" w:rsidRDefault="0049466B" w:rsidP="0049466B">
      <w:pPr>
        <w:spacing w:line="480" w:lineRule="auto"/>
      </w:pPr>
    </w:p>
    <w:p w14:paraId="204362D9" w14:textId="77777777" w:rsidR="0049466B" w:rsidRDefault="0049466B" w:rsidP="0049466B">
      <w:pPr>
        <w:spacing w:line="480" w:lineRule="auto"/>
      </w:pPr>
    </w:p>
    <w:p w14:paraId="5433CF3C" w14:textId="77777777" w:rsidR="0049466B" w:rsidRDefault="0049466B" w:rsidP="0049466B">
      <w:pPr>
        <w:spacing w:line="480" w:lineRule="auto"/>
      </w:pPr>
    </w:p>
    <w:p w14:paraId="62A217AC" w14:textId="77777777" w:rsidR="0049466B" w:rsidRDefault="0049466B" w:rsidP="0049466B">
      <w:pPr>
        <w:spacing w:line="480" w:lineRule="auto"/>
      </w:pPr>
    </w:p>
    <w:p w14:paraId="7F730A61" w14:textId="77777777" w:rsidR="0049466B" w:rsidRDefault="0049466B" w:rsidP="0049466B">
      <w:pPr>
        <w:spacing w:line="480" w:lineRule="auto"/>
      </w:pPr>
    </w:p>
    <w:p w14:paraId="7B6236D4" w14:textId="77777777" w:rsidR="0049466B" w:rsidRDefault="0049466B" w:rsidP="0049466B">
      <w:pPr>
        <w:spacing w:line="480" w:lineRule="auto"/>
      </w:pPr>
    </w:p>
    <w:p w14:paraId="01DE4C25" w14:textId="77777777" w:rsidR="0049466B" w:rsidRDefault="0049466B" w:rsidP="0049466B">
      <w:pPr>
        <w:spacing w:line="480" w:lineRule="auto"/>
      </w:pPr>
    </w:p>
    <w:p w14:paraId="481BD4EC" w14:textId="77777777" w:rsidR="0049466B" w:rsidRDefault="0049466B" w:rsidP="0049466B">
      <w:pPr>
        <w:spacing w:line="480" w:lineRule="auto"/>
      </w:pPr>
    </w:p>
    <w:p w14:paraId="6EC44564" w14:textId="77777777" w:rsidR="0049466B" w:rsidRDefault="0049466B" w:rsidP="0049466B">
      <w:pPr>
        <w:spacing w:line="480" w:lineRule="auto"/>
      </w:pPr>
    </w:p>
    <w:p w14:paraId="7AA6EE22" w14:textId="77777777" w:rsidR="0049466B" w:rsidRDefault="0049466B" w:rsidP="0049466B">
      <w:pPr>
        <w:spacing w:line="480" w:lineRule="auto"/>
      </w:pPr>
    </w:p>
    <w:p w14:paraId="710A8243" w14:textId="77777777" w:rsidR="0049466B" w:rsidRDefault="0049466B" w:rsidP="0049466B">
      <w:pPr>
        <w:spacing w:line="480" w:lineRule="auto"/>
      </w:pPr>
      <w:r>
        <w:rPr>
          <w:b/>
        </w:rPr>
        <w:t>Figure 2</w:t>
      </w:r>
      <w:r w:rsidRPr="00E27432">
        <w:t xml:space="preserve">. </w:t>
      </w:r>
      <w:r>
        <w:t>Survival (a), recurrence (b) and metastasis (c) following breast surgery.</w:t>
      </w:r>
    </w:p>
    <w:p w14:paraId="3B34448B" w14:textId="77777777" w:rsidR="0049466B" w:rsidRDefault="0049466B" w:rsidP="0049466B">
      <w:pPr>
        <w:spacing w:line="480" w:lineRule="auto"/>
      </w:pPr>
    </w:p>
    <w:p w14:paraId="5F365A3E" w14:textId="77777777" w:rsidR="0049466B" w:rsidRPr="006B1101" w:rsidRDefault="0049466B" w:rsidP="0049466B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6B1101">
        <w:rPr>
          <w:rFonts w:ascii="Arial" w:hAnsi="Arial" w:cs="Arial"/>
          <w:b/>
          <w:sz w:val="32"/>
          <w:szCs w:val="32"/>
        </w:rPr>
        <w:t>A</w:t>
      </w:r>
    </w:p>
    <w:p w14:paraId="4330DCE2" w14:textId="020A3023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  <w:r w:rsidRPr="007262CD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268E79F4" wp14:editId="62D43535">
            <wp:extent cx="5377180" cy="429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9435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FC08161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7730550E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143BECBB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9F5721C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38279482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1790E20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7C1FC5BA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9F1642F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C9D4367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82FA892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0762E772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7855C44C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0D58872E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1846B506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B9B5B54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420B8F8A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08E7BDF" w14:textId="77777777" w:rsidR="0049466B" w:rsidRDefault="0049466B" w:rsidP="0049466B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</w:p>
    <w:p w14:paraId="0532F295" w14:textId="3053709C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  <w:r w:rsidRPr="007262CD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42E949FA" wp14:editId="72332D08">
            <wp:extent cx="4919980" cy="392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E612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7D6ECE5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3B4AFB69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469BCC67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1FD5C6A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4FCF35E9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B53F898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3F74CDF7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7F0E4209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1085425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1790F978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2FBF24E5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2F736CA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70FDB5CD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034722E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070D4088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22715183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7050D997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8B86F3D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06905AE5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6AFBAD99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543FBF71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2CA02B71" w14:textId="77777777" w:rsidR="0049466B" w:rsidRDefault="0049466B" w:rsidP="0049466B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C62A58">
        <w:rPr>
          <w:rFonts w:ascii="Arial" w:hAnsi="Arial" w:cs="Arial"/>
          <w:b/>
          <w:sz w:val="32"/>
          <w:szCs w:val="32"/>
        </w:rPr>
        <w:t>C</w:t>
      </w:r>
    </w:p>
    <w:p w14:paraId="17AF5C47" w14:textId="546D8720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  <w:r w:rsidRPr="007262CD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AC7C87A" wp14:editId="027B6F67">
            <wp:extent cx="4919980" cy="3935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3DB8C" w14:textId="77777777" w:rsidR="0049466B" w:rsidRDefault="0049466B" w:rsidP="0049466B">
      <w:pPr>
        <w:spacing w:line="480" w:lineRule="auto"/>
        <w:rPr>
          <w:rFonts w:ascii="Arial" w:hAnsi="Arial" w:cs="Arial"/>
          <w:sz w:val="14"/>
          <w:szCs w:val="14"/>
        </w:rPr>
      </w:pPr>
    </w:p>
    <w:p w14:paraId="20BA55D7" w14:textId="77777777" w:rsidR="0049466B" w:rsidRDefault="0049466B" w:rsidP="0049466B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277BD3A0" w14:textId="77777777" w:rsidR="0049466B" w:rsidRDefault="0049466B" w:rsidP="0049466B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547275A5" w14:textId="77777777" w:rsidR="0049466B" w:rsidRDefault="0049466B" w:rsidP="0049466B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1B228D7D" w14:textId="63D7C4FE" w:rsidR="0049466B" w:rsidRDefault="0049466B" w:rsidP="001528B1">
      <w:pPr>
        <w:ind w:left="360"/>
        <w:jc w:val="both"/>
      </w:pPr>
    </w:p>
    <w:p w14:paraId="67AD1EA3" w14:textId="777D2F4C" w:rsidR="008E134A" w:rsidRDefault="008E134A" w:rsidP="001528B1">
      <w:pPr>
        <w:ind w:left="360"/>
        <w:jc w:val="both"/>
      </w:pPr>
    </w:p>
    <w:p w14:paraId="188C7FE1" w14:textId="6112AB96" w:rsidR="008E134A" w:rsidRDefault="008E134A" w:rsidP="001528B1">
      <w:pPr>
        <w:ind w:left="360"/>
        <w:jc w:val="both"/>
      </w:pPr>
    </w:p>
    <w:p w14:paraId="244D72F5" w14:textId="4A3FF632" w:rsidR="008E134A" w:rsidRDefault="008E134A" w:rsidP="001528B1">
      <w:pPr>
        <w:ind w:left="360"/>
        <w:jc w:val="both"/>
      </w:pPr>
    </w:p>
    <w:p w14:paraId="12D4CA29" w14:textId="085C5340" w:rsidR="008E134A" w:rsidRDefault="008E134A" w:rsidP="001528B1">
      <w:pPr>
        <w:ind w:left="360"/>
        <w:jc w:val="both"/>
      </w:pPr>
    </w:p>
    <w:p w14:paraId="58F2753F" w14:textId="6888D829" w:rsidR="008E134A" w:rsidRDefault="008E134A" w:rsidP="001528B1">
      <w:pPr>
        <w:ind w:left="360"/>
        <w:jc w:val="both"/>
      </w:pPr>
    </w:p>
    <w:p w14:paraId="64D99AC6" w14:textId="0B137DC4" w:rsidR="008E134A" w:rsidRDefault="008E134A" w:rsidP="001528B1">
      <w:pPr>
        <w:ind w:left="360"/>
        <w:jc w:val="both"/>
      </w:pPr>
    </w:p>
    <w:p w14:paraId="05CC87E5" w14:textId="12861ECE" w:rsidR="008E134A" w:rsidRDefault="008E134A" w:rsidP="001528B1">
      <w:pPr>
        <w:ind w:left="360"/>
        <w:jc w:val="both"/>
      </w:pPr>
    </w:p>
    <w:p w14:paraId="3E588AAB" w14:textId="65CCA70C" w:rsidR="008E134A" w:rsidRDefault="008E134A" w:rsidP="001528B1">
      <w:pPr>
        <w:ind w:left="360"/>
        <w:jc w:val="both"/>
      </w:pPr>
    </w:p>
    <w:p w14:paraId="77316AE5" w14:textId="3DDED6D7" w:rsidR="008E134A" w:rsidRDefault="008E134A" w:rsidP="001528B1">
      <w:pPr>
        <w:ind w:left="360"/>
        <w:jc w:val="both"/>
      </w:pPr>
    </w:p>
    <w:p w14:paraId="28E4D57E" w14:textId="6DDEFF03" w:rsidR="008E134A" w:rsidRDefault="008E134A" w:rsidP="001528B1">
      <w:pPr>
        <w:ind w:left="360"/>
        <w:jc w:val="both"/>
      </w:pPr>
    </w:p>
    <w:p w14:paraId="159F8A69" w14:textId="77777777" w:rsidR="008E134A" w:rsidRPr="00761702" w:rsidRDefault="008E134A" w:rsidP="008E134A">
      <w:pPr>
        <w:spacing w:line="480" w:lineRule="auto"/>
      </w:pPr>
      <w:r w:rsidRPr="00761702">
        <w:rPr>
          <w:b/>
        </w:rPr>
        <w:t>Table 1</w:t>
      </w:r>
      <w:r w:rsidRPr="00761702">
        <w:t>. Demographic overview of and completion rate in the two study groups</w:t>
      </w:r>
    </w:p>
    <w:p w14:paraId="248D9272" w14:textId="77777777" w:rsidR="008E134A" w:rsidRPr="00761702" w:rsidRDefault="008E134A" w:rsidP="008E134A">
      <w:pPr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2340"/>
      </w:tblGrid>
      <w:tr w:rsidR="008E134A" w:rsidRPr="00761702" w14:paraId="21C86B91" w14:textId="77777777" w:rsidTr="005B31EF">
        <w:trPr>
          <w:trHeight w:val="503"/>
        </w:trPr>
        <w:tc>
          <w:tcPr>
            <w:tcW w:w="2700" w:type="dxa"/>
            <w:shd w:val="pct20" w:color="auto" w:fill="auto"/>
          </w:tcPr>
          <w:p w14:paraId="6637F102" w14:textId="77777777" w:rsidR="008E134A" w:rsidRPr="00761702" w:rsidRDefault="008E134A" w:rsidP="005B31EF">
            <w:pPr>
              <w:jc w:val="both"/>
            </w:pPr>
            <w:r w:rsidRPr="00761702">
              <w:t>Adjuvant treatments</w:t>
            </w:r>
          </w:p>
        </w:tc>
        <w:tc>
          <w:tcPr>
            <w:tcW w:w="1980" w:type="dxa"/>
            <w:shd w:val="pct20" w:color="auto" w:fill="auto"/>
          </w:tcPr>
          <w:p w14:paraId="0B25D284" w14:textId="77777777" w:rsidR="008E134A" w:rsidRPr="00761702" w:rsidRDefault="008E134A" w:rsidP="005B31EF">
            <w:pPr>
              <w:jc w:val="both"/>
            </w:pPr>
            <w:r w:rsidRPr="00761702">
              <w:t>IBR</w:t>
            </w:r>
            <w:r>
              <w:t xml:space="preserve"> group</w:t>
            </w:r>
          </w:p>
        </w:tc>
        <w:tc>
          <w:tcPr>
            <w:tcW w:w="2340" w:type="dxa"/>
            <w:shd w:val="pct20" w:color="auto" w:fill="auto"/>
          </w:tcPr>
          <w:p w14:paraId="4509BDF0" w14:textId="77777777" w:rsidR="008E134A" w:rsidRPr="00761702" w:rsidRDefault="008E134A" w:rsidP="005B31EF">
            <w:pPr>
              <w:jc w:val="both"/>
            </w:pPr>
            <w:r w:rsidRPr="00761702">
              <w:t xml:space="preserve">Mastectomy </w:t>
            </w:r>
            <w:r>
              <w:t>only group</w:t>
            </w:r>
          </w:p>
        </w:tc>
      </w:tr>
      <w:tr w:rsidR="008E134A" w:rsidRPr="00761702" w14:paraId="003BA08C" w14:textId="77777777" w:rsidTr="005B31EF">
        <w:tc>
          <w:tcPr>
            <w:tcW w:w="2700" w:type="dxa"/>
          </w:tcPr>
          <w:p w14:paraId="20D3692D" w14:textId="77777777" w:rsidR="008E134A" w:rsidRPr="00761702" w:rsidRDefault="008E134A" w:rsidP="005B31EF">
            <w:pPr>
              <w:jc w:val="both"/>
            </w:pPr>
            <w:r w:rsidRPr="00761702">
              <w:t>RT to chest wall</w:t>
            </w:r>
          </w:p>
          <w:p w14:paraId="6976B278" w14:textId="77777777" w:rsidR="008E134A" w:rsidRPr="00761702" w:rsidRDefault="008E134A" w:rsidP="005B31EF">
            <w:pPr>
              <w:jc w:val="both"/>
            </w:pPr>
            <w:r>
              <w:t>p</w:t>
            </w:r>
            <w:r w:rsidRPr="00761702">
              <w:t>= 0.06</w:t>
            </w:r>
            <w:r>
              <w:t>*</w:t>
            </w:r>
          </w:p>
        </w:tc>
        <w:tc>
          <w:tcPr>
            <w:tcW w:w="1980" w:type="dxa"/>
          </w:tcPr>
          <w:p w14:paraId="09A99E9B" w14:textId="77777777" w:rsidR="008E134A" w:rsidRPr="00761702" w:rsidRDefault="008E134A" w:rsidP="005B31EF">
            <w:pPr>
              <w:jc w:val="both"/>
            </w:pPr>
            <w:r w:rsidRPr="00761702">
              <w:t>44(33%)</w:t>
            </w:r>
          </w:p>
        </w:tc>
        <w:tc>
          <w:tcPr>
            <w:tcW w:w="2340" w:type="dxa"/>
          </w:tcPr>
          <w:p w14:paraId="4B366132" w14:textId="77777777" w:rsidR="008E134A" w:rsidRPr="00761702" w:rsidRDefault="008E134A" w:rsidP="005B31EF">
            <w:pPr>
              <w:jc w:val="both"/>
            </w:pPr>
            <w:r w:rsidRPr="00761702">
              <w:t>213(47%)</w:t>
            </w:r>
          </w:p>
        </w:tc>
      </w:tr>
      <w:tr w:rsidR="008E134A" w:rsidRPr="00761702" w14:paraId="122A804E" w14:textId="77777777" w:rsidTr="005B31EF">
        <w:tc>
          <w:tcPr>
            <w:tcW w:w="2700" w:type="dxa"/>
          </w:tcPr>
          <w:p w14:paraId="0A8AC51F" w14:textId="77777777" w:rsidR="008E134A" w:rsidRPr="00761702" w:rsidRDefault="008E134A" w:rsidP="005B31EF">
            <w:pPr>
              <w:jc w:val="both"/>
            </w:pPr>
            <w:r w:rsidRPr="00761702">
              <w:t>Endocrine treatment</w:t>
            </w:r>
          </w:p>
          <w:p w14:paraId="08B8FAD4" w14:textId="77777777" w:rsidR="008E134A" w:rsidRPr="00761702" w:rsidRDefault="008E134A" w:rsidP="005B31EF">
            <w:pPr>
              <w:jc w:val="both"/>
            </w:pPr>
            <w:r>
              <w:t>p</w:t>
            </w:r>
            <w:r w:rsidRPr="00761702">
              <w:t xml:space="preserve"> = 0.2</w:t>
            </w:r>
            <w:r>
              <w:t>0*</w:t>
            </w:r>
          </w:p>
        </w:tc>
        <w:tc>
          <w:tcPr>
            <w:tcW w:w="1980" w:type="dxa"/>
          </w:tcPr>
          <w:p w14:paraId="3B7B3A39" w14:textId="77777777" w:rsidR="008E134A" w:rsidRPr="00761702" w:rsidRDefault="008E134A" w:rsidP="005B31EF">
            <w:pPr>
              <w:jc w:val="both"/>
            </w:pPr>
            <w:r w:rsidRPr="00761702">
              <w:t>96(71%)</w:t>
            </w:r>
          </w:p>
        </w:tc>
        <w:tc>
          <w:tcPr>
            <w:tcW w:w="2340" w:type="dxa"/>
          </w:tcPr>
          <w:p w14:paraId="01757588" w14:textId="77777777" w:rsidR="008E134A" w:rsidRPr="00761702" w:rsidRDefault="008E134A" w:rsidP="005B31EF">
            <w:pPr>
              <w:jc w:val="both"/>
            </w:pPr>
            <w:r w:rsidRPr="00761702">
              <w:t>260(58%)</w:t>
            </w:r>
          </w:p>
        </w:tc>
      </w:tr>
      <w:tr w:rsidR="008E134A" w:rsidRPr="00761702" w14:paraId="7DAC115D" w14:textId="77777777" w:rsidTr="005B31EF">
        <w:tc>
          <w:tcPr>
            <w:tcW w:w="2700" w:type="dxa"/>
          </w:tcPr>
          <w:p w14:paraId="0388F606" w14:textId="77777777" w:rsidR="008E134A" w:rsidRPr="00761702" w:rsidRDefault="008E134A" w:rsidP="005B31EF">
            <w:pPr>
              <w:jc w:val="both"/>
            </w:pPr>
            <w:r w:rsidRPr="00761702">
              <w:t>Chemotherapy</w:t>
            </w:r>
          </w:p>
          <w:p w14:paraId="3853004F" w14:textId="77777777" w:rsidR="008E134A" w:rsidRPr="00761702" w:rsidRDefault="008E134A" w:rsidP="005B31EF">
            <w:pPr>
              <w:jc w:val="both"/>
            </w:pPr>
            <w:r>
              <w:t>p</w:t>
            </w:r>
            <w:r w:rsidRPr="00761702">
              <w:t xml:space="preserve"> =0.4</w:t>
            </w:r>
            <w:r>
              <w:t>0*</w:t>
            </w:r>
          </w:p>
        </w:tc>
        <w:tc>
          <w:tcPr>
            <w:tcW w:w="1980" w:type="dxa"/>
          </w:tcPr>
          <w:p w14:paraId="633FBAC4" w14:textId="77777777" w:rsidR="008E134A" w:rsidRPr="00761702" w:rsidRDefault="008E134A" w:rsidP="005B31EF">
            <w:pPr>
              <w:jc w:val="both"/>
            </w:pPr>
            <w:r w:rsidRPr="00761702">
              <w:t>59(44%)</w:t>
            </w:r>
          </w:p>
        </w:tc>
        <w:tc>
          <w:tcPr>
            <w:tcW w:w="2340" w:type="dxa"/>
          </w:tcPr>
          <w:p w14:paraId="1EECCE1E" w14:textId="77777777" w:rsidR="008E134A" w:rsidRPr="00761702" w:rsidRDefault="008E134A" w:rsidP="005B31EF">
            <w:pPr>
              <w:jc w:val="both"/>
            </w:pPr>
            <w:r w:rsidRPr="00761702">
              <w:t>169(37%)</w:t>
            </w:r>
          </w:p>
        </w:tc>
      </w:tr>
    </w:tbl>
    <w:p w14:paraId="4D230D07" w14:textId="77777777" w:rsidR="008E134A" w:rsidRPr="00761702" w:rsidRDefault="008E134A" w:rsidP="008E134A">
      <w:pPr>
        <w:ind w:left="1800"/>
        <w:jc w:val="both"/>
      </w:pPr>
      <w:r>
        <w:t>*Determined by analysis of variance.</w:t>
      </w:r>
    </w:p>
    <w:p w14:paraId="54B7A347" w14:textId="77777777" w:rsidR="008E134A" w:rsidRPr="00761702" w:rsidRDefault="008E134A" w:rsidP="008E134A"/>
    <w:p w14:paraId="23FFBD8D" w14:textId="77777777" w:rsidR="008E134A" w:rsidRDefault="008E134A" w:rsidP="008E134A"/>
    <w:p w14:paraId="25178D23" w14:textId="77777777" w:rsidR="008E134A" w:rsidRPr="00761702" w:rsidRDefault="008E134A" w:rsidP="008E134A"/>
    <w:p w14:paraId="138E3310" w14:textId="77777777" w:rsidR="008E134A" w:rsidRPr="00761702" w:rsidRDefault="008E134A" w:rsidP="008E134A">
      <w:pPr>
        <w:spacing w:line="480" w:lineRule="auto"/>
      </w:pPr>
      <w:r w:rsidRPr="00761702">
        <w:rPr>
          <w:b/>
        </w:rPr>
        <w:t>Table 1</w:t>
      </w:r>
      <w:r w:rsidRPr="00761702">
        <w:t xml:space="preserve">. </w:t>
      </w:r>
      <w:r>
        <w:t>Local recurrence of breast cancer following surgery</w:t>
      </w:r>
    </w:p>
    <w:p w14:paraId="51499AE5" w14:textId="77777777" w:rsidR="008E134A" w:rsidRPr="00557CB7" w:rsidRDefault="008E134A" w:rsidP="008E134A">
      <w:pPr>
        <w:jc w:val="center"/>
      </w:pPr>
    </w:p>
    <w:p w14:paraId="0FC811DF" w14:textId="77777777" w:rsidR="008E134A" w:rsidRPr="00557CB7" w:rsidRDefault="008E134A" w:rsidP="008E134A">
      <w:pPr>
        <w:jc w:val="center"/>
      </w:pPr>
    </w:p>
    <w:p w14:paraId="096240DA" w14:textId="77777777" w:rsidR="008E134A" w:rsidRPr="00557CB7" w:rsidRDefault="008E134A" w:rsidP="008E134A">
      <w:pPr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875"/>
        <w:gridCol w:w="1545"/>
      </w:tblGrid>
      <w:tr w:rsidR="008E134A" w:rsidRPr="00557CB7" w14:paraId="20088704" w14:textId="77777777" w:rsidTr="005B31EF">
        <w:trPr>
          <w:trHeight w:val="294"/>
        </w:trPr>
        <w:tc>
          <w:tcPr>
            <w:tcW w:w="1440" w:type="dxa"/>
            <w:shd w:val="pct20" w:color="auto" w:fill="auto"/>
          </w:tcPr>
          <w:p w14:paraId="195E9E73" w14:textId="77777777" w:rsidR="008E134A" w:rsidRPr="00557CB7" w:rsidRDefault="008E134A" w:rsidP="005B31EF">
            <w:pPr>
              <w:jc w:val="both"/>
            </w:pPr>
          </w:p>
        </w:tc>
        <w:tc>
          <w:tcPr>
            <w:tcW w:w="1800" w:type="dxa"/>
            <w:shd w:val="pct20" w:color="auto" w:fill="auto"/>
          </w:tcPr>
          <w:p w14:paraId="5DF15E8B" w14:textId="77777777" w:rsidR="008E134A" w:rsidRPr="00557CB7" w:rsidRDefault="008E134A" w:rsidP="005B31EF">
            <w:pPr>
              <w:jc w:val="both"/>
            </w:pPr>
            <w:r w:rsidRPr="00557CB7">
              <w:t>1</w:t>
            </w:r>
            <w:r w:rsidRPr="00557CB7">
              <w:rPr>
                <w:vertAlign w:val="superscript"/>
              </w:rPr>
              <w:t>st</w:t>
            </w:r>
            <w:r w:rsidRPr="00557CB7">
              <w:t xml:space="preserve"> year</w:t>
            </w:r>
          </w:p>
        </w:tc>
        <w:tc>
          <w:tcPr>
            <w:tcW w:w="1875" w:type="dxa"/>
            <w:shd w:val="pct20" w:color="auto" w:fill="auto"/>
          </w:tcPr>
          <w:p w14:paraId="0FC4E041" w14:textId="77777777" w:rsidR="008E134A" w:rsidRPr="00557CB7" w:rsidRDefault="008E134A" w:rsidP="005B31EF">
            <w:pPr>
              <w:jc w:val="both"/>
            </w:pPr>
            <w:r w:rsidRPr="00557CB7">
              <w:t>2</w:t>
            </w:r>
            <w:r w:rsidRPr="00557CB7">
              <w:rPr>
                <w:vertAlign w:val="superscript"/>
              </w:rPr>
              <w:t>nd</w:t>
            </w:r>
            <w:r w:rsidRPr="00557CB7">
              <w:t xml:space="preserve"> year</w:t>
            </w:r>
          </w:p>
        </w:tc>
        <w:tc>
          <w:tcPr>
            <w:tcW w:w="1545" w:type="dxa"/>
            <w:shd w:val="pct20" w:color="auto" w:fill="auto"/>
          </w:tcPr>
          <w:p w14:paraId="0EDBC45B" w14:textId="77777777" w:rsidR="008E134A" w:rsidRPr="00557CB7" w:rsidRDefault="008E134A" w:rsidP="005B31EF">
            <w:pPr>
              <w:jc w:val="both"/>
            </w:pPr>
            <w:r w:rsidRPr="00557CB7">
              <w:t>3</w:t>
            </w:r>
            <w:r w:rsidRPr="00557CB7">
              <w:rPr>
                <w:vertAlign w:val="superscript"/>
              </w:rPr>
              <w:t>rd</w:t>
            </w:r>
            <w:r w:rsidRPr="00557CB7">
              <w:t xml:space="preserve"> year</w:t>
            </w:r>
          </w:p>
        </w:tc>
      </w:tr>
      <w:tr w:rsidR="008E134A" w:rsidRPr="00557CB7" w14:paraId="75CB0187" w14:textId="77777777" w:rsidTr="005B31EF">
        <w:trPr>
          <w:trHeight w:val="493"/>
        </w:trPr>
        <w:tc>
          <w:tcPr>
            <w:tcW w:w="1440" w:type="dxa"/>
          </w:tcPr>
          <w:p w14:paraId="02306186" w14:textId="77777777" w:rsidR="008E134A" w:rsidRPr="00557CB7" w:rsidRDefault="008E134A" w:rsidP="005B31EF">
            <w:pPr>
              <w:jc w:val="both"/>
            </w:pPr>
            <w:r w:rsidRPr="00557CB7">
              <w:t>IBR</w:t>
            </w:r>
          </w:p>
        </w:tc>
        <w:tc>
          <w:tcPr>
            <w:tcW w:w="1800" w:type="dxa"/>
          </w:tcPr>
          <w:p w14:paraId="151A0695" w14:textId="77777777" w:rsidR="008E134A" w:rsidRPr="00557CB7" w:rsidRDefault="008E134A" w:rsidP="005B31EF">
            <w:pPr>
              <w:jc w:val="both"/>
            </w:pPr>
            <w:r w:rsidRPr="00557CB7">
              <w:t>2(1.5%)</w:t>
            </w:r>
          </w:p>
        </w:tc>
        <w:tc>
          <w:tcPr>
            <w:tcW w:w="1875" w:type="dxa"/>
          </w:tcPr>
          <w:p w14:paraId="227B3EC0" w14:textId="77777777" w:rsidR="008E134A" w:rsidRPr="00557CB7" w:rsidRDefault="008E134A" w:rsidP="005B31EF">
            <w:pPr>
              <w:jc w:val="both"/>
            </w:pPr>
            <w:r w:rsidRPr="00557CB7">
              <w:t>2(1.5%)</w:t>
            </w:r>
          </w:p>
        </w:tc>
        <w:tc>
          <w:tcPr>
            <w:tcW w:w="1545" w:type="dxa"/>
          </w:tcPr>
          <w:p w14:paraId="6D231434" w14:textId="77777777" w:rsidR="008E134A" w:rsidRPr="00557CB7" w:rsidRDefault="008E134A" w:rsidP="005B31EF">
            <w:pPr>
              <w:jc w:val="both"/>
            </w:pPr>
            <w:r w:rsidRPr="00557CB7">
              <w:t>3(2 %)</w:t>
            </w:r>
          </w:p>
        </w:tc>
      </w:tr>
      <w:tr w:rsidR="008E134A" w:rsidRPr="00557CB7" w14:paraId="4404FED7" w14:textId="77777777" w:rsidTr="005B31EF">
        <w:trPr>
          <w:trHeight w:val="543"/>
        </w:trPr>
        <w:tc>
          <w:tcPr>
            <w:tcW w:w="1440" w:type="dxa"/>
          </w:tcPr>
          <w:p w14:paraId="080694F4" w14:textId="77777777" w:rsidR="008E134A" w:rsidRPr="00557CB7" w:rsidRDefault="008E134A" w:rsidP="005B31EF">
            <w:pPr>
              <w:jc w:val="both"/>
            </w:pPr>
            <w:r w:rsidRPr="00557CB7">
              <w:t>Mx alone</w:t>
            </w:r>
          </w:p>
        </w:tc>
        <w:tc>
          <w:tcPr>
            <w:tcW w:w="1800" w:type="dxa"/>
          </w:tcPr>
          <w:p w14:paraId="7F8D0052" w14:textId="77777777" w:rsidR="008E134A" w:rsidRPr="00557CB7" w:rsidRDefault="008E134A" w:rsidP="005B31EF">
            <w:pPr>
              <w:jc w:val="both"/>
            </w:pPr>
            <w:r w:rsidRPr="00557CB7">
              <w:t>11(2.4%)</w:t>
            </w:r>
          </w:p>
        </w:tc>
        <w:tc>
          <w:tcPr>
            <w:tcW w:w="1875" w:type="dxa"/>
          </w:tcPr>
          <w:p w14:paraId="5F524605" w14:textId="77777777" w:rsidR="008E134A" w:rsidRPr="00557CB7" w:rsidRDefault="008E134A" w:rsidP="005B31EF">
            <w:pPr>
              <w:jc w:val="both"/>
            </w:pPr>
            <w:r w:rsidRPr="00557CB7">
              <w:t>9(2%)</w:t>
            </w:r>
          </w:p>
        </w:tc>
        <w:tc>
          <w:tcPr>
            <w:tcW w:w="1545" w:type="dxa"/>
          </w:tcPr>
          <w:p w14:paraId="72550DF2" w14:textId="77777777" w:rsidR="008E134A" w:rsidRPr="00557CB7" w:rsidRDefault="008E134A" w:rsidP="005B31EF">
            <w:pPr>
              <w:jc w:val="both"/>
            </w:pPr>
            <w:r w:rsidRPr="00557CB7">
              <w:t>9(2%)</w:t>
            </w:r>
          </w:p>
        </w:tc>
      </w:tr>
    </w:tbl>
    <w:p w14:paraId="0EB156C0" w14:textId="77777777" w:rsidR="008E134A" w:rsidRPr="00761702" w:rsidRDefault="008E134A" w:rsidP="008E134A">
      <w:pPr>
        <w:spacing w:line="480" w:lineRule="auto"/>
      </w:pPr>
    </w:p>
    <w:p w14:paraId="1EEA17CB" w14:textId="77777777" w:rsidR="008E134A" w:rsidRDefault="008E134A" w:rsidP="001528B1">
      <w:pPr>
        <w:ind w:left="360"/>
        <w:jc w:val="both"/>
      </w:pPr>
    </w:p>
    <w:sectPr w:rsidR="008E134A" w:rsidSect="00524428">
      <w:pgSz w:w="11906" w:h="16838"/>
      <w:pgMar w:top="1440" w:right="3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F342" w14:textId="77777777" w:rsidR="002407C8" w:rsidRDefault="002407C8">
      <w:r>
        <w:separator/>
      </w:r>
    </w:p>
  </w:endnote>
  <w:endnote w:type="continuationSeparator" w:id="0">
    <w:p w14:paraId="62902793" w14:textId="77777777" w:rsidR="002407C8" w:rsidRDefault="0024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127E" w14:textId="77777777" w:rsidR="002407C8" w:rsidRDefault="002407C8">
      <w:r>
        <w:separator/>
      </w:r>
    </w:p>
  </w:footnote>
  <w:footnote w:type="continuationSeparator" w:id="0">
    <w:p w14:paraId="1CEB608F" w14:textId="77777777" w:rsidR="002407C8" w:rsidRDefault="0024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A1"/>
    <w:multiLevelType w:val="hybridMultilevel"/>
    <w:tmpl w:val="749038E0"/>
    <w:lvl w:ilvl="0" w:tplc="5A68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E7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A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2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C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A0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C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C4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4C4794"/>
    <w:multiLevelType w:val="hybridMultilevel"/>
    <w:tmpl w:val="612A2032"/>
    <w:lvl w:ilvl="0" w:tplc="6BDA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8A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E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6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A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0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E967F7"/>
    <w:multiLevelType w:val="hybridMultilevel"/>
    <w:tmpl w:val="BF12C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F3F30"/>
    <w:multiLevelType w:val="hybridMultilevel"/>
    <w:tmpl w:val="D3CA84F8"/>
    <w:lvl w:ilvl="0" w:tplc="A882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CF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4D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E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C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E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6F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A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6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F75713"/>
    <w:multiLevelType w:val="hybridMultilevel"/>
    <w:tmpl w:val="86A84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08BE"/>
    <w:multiLevelType w:val="hybridMultilevel"/>
    <w:tmpl w:val="33B29C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40CF9"/>
    <w:multiLevelType w:val="hybridMultilevel"/>
    <w:tmpl w:val="B81EF418"/>
    <w:lvl w:ilvl="0" w:tplc="E29C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6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0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65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A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6A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913D8F"/>
    <w:multiLevelType w:val="hybridMultilevel"/>
    <w:tmpl w:val="A894E202"/>
    <w:lvl w:ilvl="0" w:tplc="22A6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6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4CA98">
      <w:start w:val="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AD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C1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6A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2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B240B0"/>
    <w:multiLevelType w:val="hybridMultilevel"/>
    <w:tmpl w:val="B7CA6EF0"/>
    <w:lvl w:ilvl="0" w:tplc="66A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A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6E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6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0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AA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81357C"/>
    <w:multiLevelType w:val="hybridMultilevel"/>
    <w:tmpl w:val="0784A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8A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E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6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A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0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97"/>
    <w:rsid w:val="0000424F"/>
    <w:rsid w:val="00035623"/>
    <w:rsid w:val="0003633E"/>
    <w:rsid w:val="00036C2B"/>
    <w:rsid w:val="000551A6"/>
    <w:rsid w:val="00066BD3"/>
    <w:rsid w:val="000760E0"/>
    <w:rsid w:val="00081CE5"/>
    <w:rsid w:val="00083A63"/>
    <w:rsid w:val="00092D0C"/>
    <w:rsid w:val="000A054B"/>
    <w:rsid w:val="000A43AE"/>
    <w:rsid w:val="000B5B7E"/>
    <w:rsid w:val="000B5F4A"/>
    <w:rsid w:val="000C0223"/>
    <w:rsid w:val="000C1092"/>
    <w:rsid w:val="000C6BEF"/>
    <w:rsid w:val="000D2DFC"/>
    <w:rsid w:val="000D3B80"/>
    <w:rsid w:val="000D4DA8"/>
    <w:rsid w:val="000E0517"/>
    <w:rsid w:val="000E7676"/>
    <w:rsid w:val="000F6328"/>
    <w:rsid w:val="00102879"/>
    <w:rsid w:val="001072D8"/>
    <w:rsid w:val="00113C25"/>
    <w:rsid w:val="001147A9"/>
    <w:rsid w:val="00114B0F"/>
    <w:rsid w:val="001224FF"/>
    <w:rsid w:val="001420EC"/>
    <w:rsid w:val="001431A4"/>
    <w:rsid w:val="001528B1"/>
    <w:rsid w:val="00154041"/>
    <w:rsid w:val="001546ED"/>
    <w:rsid w:val="00164E3B"/>
    <w:rsid w:val="0017093C"/>
    <w:rsid w:val="00174D60"/>
    <w:rsid w:val="0017639D"/>
    <w:rsid w:val="00181C81"/>
    <w:rsid w:val="001A12C3"/>
    <w:rsid w:val="001A261C"/>
    <w:rsid w:val="001B023F"/>
    <w:rsid w:val="001B48CF"/>
    <w:rsid w:val="001B7375"/>
    <w:rsid w:val="001C187D"/>
    <w:rsid w:val="001C4914"/>
    <w:rsid w:val="001C521A"/>
    <w:rsid w:val="001D2A6F"/>
    <w:rsid w:val="001E12D1"/>
    <w:rsid w:val="001E5339"/>
    <w:rsid w:val="001F19A0"/>
    <w:rsid w:val="001F5474"/>
    <w:rsid w:val="001F5644"/>
    <w:rsid w:val="00204668"/>
    <w:rsid w:val="00207C5A"/>
    <w:rsid w:val="0021272F"/>
    <w:rsid w:val="002257BD"/>
    <w:rsid w:val="002272AB"/>
    <w:rsid w:val="0023791D"/>
    <w:rsid w:val="002407C8"/>
    <w:rsid w:val="0025137B"/>
    <w:rsid w:val="00254C45"/>
    <w:rsid w:val="002634E8"/>
    <w:rsid w:val="00286B10"/>
    <w:rsid w:val="00287410"/>
    <w:rsid w:val="00295768"/>
    <w:rsid w:val="002B1944"/>
    <w:rsid w:val="002C1B99"/>
    <w:rsid w:val="002C38C3"/>
    <w:rsid w:val="002C7B3F"/>
    <w:rsid w:val="002D4DBB"/>
    <w:rsid w:val="002E3DE0"/>
    <w:rsid w:val="002F796B"/>
    <w:rsid w:val="003037C3"/>
    <w:rsid w:val="00304EC7"/>
    <w:rsid w:val="00323C59"/>
    <w:rsid w:val="00325C0E"/>
    <w:rsid w:val="00333475"/>
    <w:rsid w:val="0033389D"/>
    <w:rsid w:val="00334874"/>
    <w:rsid w:val="0033488B"/>
    <w:rsid w:val="00337FD7"/>
    <w:rsid w:val="003421D2"/>
    <w:rsid w:val="0034315E"/>
    <w:rsid w:val="0037272E"/>
    <w:rsid w:val="0037417C"/>
    <w:rsid w:val="00380CEB"/>
    <w:rsid w:val="00380DC6"/>
    <w:rsid w:val="00382772"/>
    <w:rsid w:val="00392D6C"/>
    <w:rsid w:val="003A0409"/>
    <w:rsid w:val="003A47E9"/>
    <w:rsid w:val="003B2ECF"/>
    <w:rsid w:val="003C0450"/>
    <w:rsid w:val="003C4768"/>
    <w:rsid w:val="003C4ACF"/>
    <w:rsid w:val="003F18B6"/>
    <w:rsid w:val="003F30B2"/>
    <w:rsid w:val="00410D3F"/>
    <w:rsid w:val="00427923"/>
    <w:rsid w:val="00431E6F"/>
    <w:rsid w:val="004329E9"/>
    <w:rsid w:val="00452A8C"/>
    <w:rsid w:val="004541B3"/>
    <w:rsid w:val="004544B4"/>
    <w:rsid w:val="00456F90"/>
    <w:rsid w:val="00461A2C"/>
    <w:rsid w:val="004822E8"/>
    <w:rsid w:val="00487E1D"/>
    <w:rsid w:val="004900C1"/>
    <w:rsid w:val="004910D0"/>
    <w:rsid w:val="0049143D"/>
    <w:rsid w:val="0049466B"/>
    <w:rsid w:val="004C01C3"/>
    <w:rsid w:val="004C561C"/>
    <w:rsid w:val="004D1495"/>
    <w:rsid w:val="004D3157"/>
    <w:rsid w:val="004D6D5E"/>
    <w:rsid w:val="004E27EE"/>
    <w:rsid w:val="004E37CD"/>
    <w:rsid w:val="004E6642"/>
    <w:rsid w:val="004F02A5"/>
    <w:rsid w:val="004F5CF0"/>
    <w:rsid w:val="00507954"/>
    <w:rsid w:val="0051612B"/>
    <w:rsid w:val="00516260"/>
    <w:rsid w:val="00524428"/>
    <w:rsid w:val="005260C6"/>
    <w:rsid w:val="00531E7A"/>
    <w:rsid w:val="00532A84"/>
    <w:rsid w:val="005342B4"/>
    <w:rsid w:val="005369E7"/>
    <w:rsid w:val="0053767D"/>
    <w:rsid w:val="0056048E"/>
    <w:rsid w:val="0056294B"/>
    <w:rsid w:val="0057091D"/>
    <w:rsid w:val="0057537D"/>
    <w:rsid w:val="00576439"/>
    <w:rsid w:val="005804D2"/>
    <w:rsid w:val="0058141B"/>
    <w:rsid w:val="0059050E"/>
    <w:rsid w:val="00590C4F"/>
    <w:rsid w:val="005B0D53"/>
    <w:rsid w:val="005B6A34"/>
    <w:rsid w:val="005C188D"/>
    <w:rsid w:val="005C3283"/>
    <w:rsid w:val="005C5CE9"/>
    <w:rsid w:val="005C6093"/>
    <w:rsid w:val="005D071E"/>
    <w:rsid w:val="005D19C6"/>
    <w:rsid w:val="005D29AA"/>
    <w:rsid w:val="005D76D2"/>
    <w:rsid w:val="005E3EC6"/>
    <w:rsid w:val="005E417A"/>
    <w:rsid w:val="005F0679"/>
    <w:rsid w:val="005F2180"/>
    <w:rsid w:val="005F72B1"/>
    <w:rsid w:val="00600EF4"/>
    <w:rsid w:val="0060242F"/>
    <w:rsid w:val="006032DE"/>
    <w:rsid w:val="006059FF"/>
    <w:rsid w:val="006109CA"/>
    <w:rsid w:val="00625F7A"/>
    <w:rsid w:val="0063001C"/>
    <w:rsid w:val="006438B7"/>
    <w:rsid w:val="00650BAA"/>
    <w:rsid w:val="0065227D"/>
    <w:rsid w:val="00656F63"/>
    <w:rsid w:val="006613C6"/>
    <w:rsid w:val="00661E04"/>
    <w:rsid w:val="00661EDA"/>
    <w:rsid w:val="0068498A"/>
    <w:rsid w:val="00685C1A"/>
    <w:rsid w:val="006867E3"/>
    <w:rsid w:val="006A070D"/>
    <w:rsid w:val="006A5932"/>
    <w:rsid w:val="006B2F84"/>
    <w:rsid w:val="006C55B0"/>
    <w:rsid w:val="006C70BD"/>
    <w:rsid w:val="006D670B"/>
    <w:rsid w:val="006E3FC1"/>
    <w:rsid w:val="006E477E"/>
    <w:rsid w:val="006F524F"/>
    <w:rsid w:val="0070345B"/>
    <w:rsid w:val="00703744"/>
    <w:rsid w:val="007053B1"/>
    <w:rsid w:val="0070570E"/>
    <w:rsid w:val="00710ADE"/>
    <w:rsid w:val="00711086"/>
    <w:rsid w:val="00717AAE"/>
    <w:rsid w:val="00721AA0"/>
    <w:rsid w:val="00726AB3"/>
    <w:rsid w:val="0073003C"/>
    <w:rsid w:val="00731C59"/>
    <w:rsid w:val="0074667F"/>
    <w:rsid w:val="00760F5D"/>
    <w:rsid w:val="0076446E"/>
    <w:rsid w:val="00773229"/>
    <w:rsid w:val="00780C54"/>
    <w:rsid w:val="00781783"/>
    <w:rsid w:val="007903D2"/>
    <w:rsid w:val="00792B4B"/>
    <w:rsid w:val="007A17C9"/>
    <w:rsid w:val="007A6B43"/>
    <w:rsid w:val="007A72A6"/>
    <w:rsid w:val="007B7D88"/>
    <w:rsid w:val="007C26B4"/>
    <w:rsid w:val="007E2064"/>
    <w:rsid w:val="007E2A5F"/>
    <w:rsid w:val="007E5D33"/>
    <w:rsid w:val="007E7A6C"/>
    <w:rsid w:val="007F3EDB"/>
    <w:rsid w:val="00801FC0"/>
    <w:rsid w:val="00805F8C"/>
    <w:rsid w:val="00815E80"/>
    <w:rsid w:val="00815FDC"/>
    <w:rsid w:val="0081711B"/>
    <w:rsid w:val="008236C6"/>
    <w:rsid w:val="0082796A"/>
    <w:rsid w:val="00830BAA"/>
    <w:rsid w:val="00837454"/>
    <w:rsid w:val="008414FA"/>
    <w:rsid w:val="00844958"/>
    <w:rsid w:val="00850FE9"/>
    <w:rsid w:val="00852144"/>
    <w:rsid w:val="00860D78"/>
    <w:rsid w:val="00870083"/>
    <w:rsid w:val="0087401C"/>
    <w:rsid w:val="00874CA1"/>
    <w:rsid w:val="00877A28"/>
    <w:rsid w:val="008925AB"/>
    <w:rsid w:val="008A1274"/>
    <w:rsid w:val="008A3532"/>
    <w:rsid w:val="008A5602"/>
    <w:rsid w:val="008A5F97"/>
    <w:rsid w:val="008C1BF0"/>
    <w:rsid w:val="008D0041"/>
    <w:rsid w:val="008E134A"/>
    <w:rsid w:val="008E19A0"/>
    <w:rsid w:val="008E3D5F"/>
    <w:rsid w:val="008F024F"/>
    <w:rsid w:val="008F2DE8"/>
    <w:rsid w:val="0090736B"/>
    <w:rsid w:val="00914638"/>
    <w:rsid w:val="009175AF"/>
    <w:rsid w:val="00922D48"/>
    <w:rsid w:val="00927D52"/>
    <w:rsid w:val="00927EF5"/>
    <w:rsid w:val="0093181B"/>
    <w:rsid w:val="00932DEA"/>
    <w:rsid w:val="00943EDD"/>
    <w:rsid w:val="00946CD6"/>
    <w:rsid w:val="00951E97"/>
    <w:rsid w:val="009526E1"/>
    <w:rsid w:val="00953521"/>
    <w:rsid w:val="00962119"/>
    <w:rsid w:val="009627AB"/>
    <w:rsid w:val="00963213"/>
    <w:rsid w:val="0096396B"/>
    <w:rsid w:val="00972F6C"/>
    <w:rsid w:val="009A23CB"/>
    <w:rsid w:val="009B7A68"/>
    <w:rsid w:val="009C76F5"/>
    <w:rsid w:val="009E3530"/>
    <w:rsid w:val="009F3DBD"/>
    <w:rsid w:val="009F6BEF"/>
    <w:rsid w:val="00A00ED6"/>
    <w:rsid w:val="00A12CD6"/>
    <w:rsid w:val="00A205F7"/>
    <w:rsid w:val="00A50004"/>
    <w:rsid w:val="00A54970"/>
    <w:rsid w:val="00A618DF"/>
    <w:rsid w:val="00A61C95"/>
    <w:rsid w:val="00A63C07"/>
    <w:rsid w:val="00A76EB8"/>
    <w:rsid w:val="00A9615F"/>
    <w:rsid w:val="00A97128"/>
    <w:rsid w:val="00AA5955"/>
    <w:rsid w:val="00AA5D34"/>
    <w:rsid w:val="00AB33C6"/>
    <w:rsid w:val="00AC5E35"/>
    <w:rsid w:val="00AD15CB"/>
    <w:rsid w:val="00AD29DB"/>
    <w:rsid w:val="00AE57D7"/>
    <w:rsid w:val="00AF5957"/>
    <w:rsid w:val="00AF6DB3"/>
    <w:rsid w:val="00B110C4"/>
    <w:rsid w:val="00B11F8B"/>
    <w:rsid w:val="00B25081"/>
    <w:rsid w:val="00B35043"/>
    <w:rsid w:val="00B43507"/>
    <w:rsid w:val="00B528B4"/>
    <w:rsid w:val="00B53701"/>
    <w:rsid w:val="00B6153D"/>
    <w:rsid w:val="00B628B8"/>
    <w:rsid w:val="00B65A6E"/>
    <w:rsid w:val="00B664B0"/>
    <w:rsid w:val="00B840FA"/>
    <w:rsid w:val="00B93429"/>
    <w:rsid w:val="00B95AAF"/>
    <w:rsid w:val="00BA2E34"/>
    <w:rsid w:val="00BB1FAA"/>
    <w:rsid w:val="00BB6076"/>
    <w:rsid w:val="00BC01C6"/>
    <w:rsid w:val="00BC2AE7"/>
    <w:rsid w:val="00BD3332"/>
    <w:rsid w:val="00BE2D6E"/>
    <w:rsid w:val="00BE3C4F"/>
    <w:rsid w:val="00BE770F"/>
    <w:rsid w:val="00BF1E1B"/>
    <w:rsid w:val="00C00B1B"/>
    <w:rsid w:val="00C05193"/>
    <w:rsid w:val="00C17305"/>
    <w:rsid w:val="00C20540"/>
    <w:rsid w:val="00C25239"/>
    <w:rsid w:val="00C2657E"/>
    <w:rsid w:val="00C27ADE"/>
    <w:rsid w:val="00C353F2"/>
    <w:rsid w:val="00C37F55"/>
    <w:rsid w:val="00C4543E"/>
    <w:rsid w:val="00C45560"/>
    <w:rsid w:val="00C45BA0"/>
    <w:rsid w:val="00C500DE"/>
    <w:rsid w:val="00C52FF7"/>
    <w:rsid w:val="00C5764B"/>
    <w:rsid w:val="00C57B42"/>
    <w:rsid w:val="00C652D6"/>
    <w:rsid w:val="00C703AB"/>
    <w:rsid w:val="00C72A52"/>
    <w:rsid w:val="00C87660"/>
    <w:rsid w:val="00CA4B9F"/>
    <w:rsid w:val="00CA5780"/>
    <w:rsid w:val="00CA6343"/>
    <w:rsid w:val="00CB55FA"/>
    <w:rsid w:val="00CC0887"/>
    <w:rsid w:val="00CC57C2"/>
    <w:rsid w:val="00D11035"/>
    <w:rsid w:val="00D57790"/>
    <w:rsid w:val="00D57F56"/>
    <w:rsid w:val="00D64A4F"/>
    <w:rsid w:val="00D73A1D"/>
    <w:rsid w:val="00D7470B"/>
    <w:rsid w:val="00D90F25"/>
    <w:rsid w:val="00DA68F8"/>
    <w:rsid w:val="00DA6F2E"/>
    <w:rsid w:val="00DB683D"/>
    <w:rsid w:val="00DB7B6C"/>
    <w:rsid w:val="00DC01C8"/>
    <w:rsid w:val="00DC4690"/>
    <w:rsid w:val="00DC5AE8"/>
    <w:rsid w:val="00DC5CCF"/>
    <w:rsid w:val="00DD01AB"/>
    <w:rsid w:val="00DE28AC"/>
    <w:rsid w:val="00DE3EDE"/>
    <w:rsid w:val="00DE5CA2"/>
    <w:rsid w:val="00DE5E50"/>
    <w:rsid w:val="00DF5314"/>
    <w:rsid w:val="00DF6256"/>
    <w:rsid w:val="00E043A7"/>
    <w:rsid w:val="00E10597"/>
    <w:rsid w:val="00E12412"/>
    <w:rsid w:val="00E24710"/>
    <w:rsid w:val="00E30B15"/>
    <w:rsid w:val="00E32D06"/>
    <w:rsid w:val="00E37675"/>
    <w:rsid w:val="00E53295"/>
    <w:rsid w:val="00E5493F"/>
    <w:rsid w:val="00E54BE4"/>
    <w:rsid w:val="00E61305"/>
    <w:rsid w:val="00E62E8C"/>
    <w:rsid w:val="00E66130"/>
    <w:rsid w:val="00E67DDF"/>
    <w:rsid w:val="00E726DA"/>
    <w:rsid w:val="00E73683"/>
    <w:rsid w:val="00E74EAB"/>
    <w:rsid w:val="00E75B57"/>
    <w:rsid w:val="00E951F3"/>
    <w:rsid w:val="00EA0ECF"/>
    <w:rsid w:val="00EB355A"/>
    <w:rsid w:val="00EB5B9F"/>
    <w:rsid w:val="00EC257C"/>
    <w:rsid w:val="00EC28CF"/>
    <w:rsid w:val="00ED0A05"/>
    <w:rsid w:val="00ED61CA"/>
    <w:rsid w:val="00ED6840"/>
    <w:rsid w:val="00F05D68"/>
    <w:rsid w:val="00F11D31"/>
    <w:rsid w:val="00F172D5"/>
    <w:rsid w:val="00F21956"/>
    <w:rsid w:val="00F22964"/>
    <w:rsid w:val="00F2386E"/>
    <w:rsid w:val="00F35FE9"/>
    <w:rsid w:val="00F42ED2"/>
    <w:rsid w:val="00F622F7"/>
    <w:rsid w:val="00F65C5A"/>
    <w:rsid w:val="00F72B06"/>
    <w:rsid w:val="00F760A8"/>
    <w:rsid w:val="00F90C45"/>
    <w:rsid w:val="00F93C67"/>
    <w:rsid w:val="00FA332D"/>
    <w:rsid w:val="00FA7311"/>
    <w:rsid w:val="00FD2FAF"/>
    <w:rsid w:val="00FD3EB6"/>
    <w:rsid w:val="00FD729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BB425F"/>
  <w15:chartTrackingRefBased/>
  <w15:docId w15:val="{A846EF07-2B06-47E7-BD8F-CD0C53B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0C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0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0570E"/>
    <w:pPr>
      <w:jc w:val="both"/>
    </w:pPr>
  </w:style>
  <w:style w:type="paragraph" w:styleId="EndnoteText">
    <w:name w:val="endnote text"/>
    <w:basedOn w:val="Normal"/>
    <w:semiHidden/>
    <w:rsid w:val="00B6153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6153D"/>
    <w:rPr>
      <w:vertAlign w:val="superscript"/>
    </w:rPr>
  </w:style>
  <w:style w:type="paragraph" w:styleId="Caption">
    <w:name w:val="caption"/>
    <w:basedOn w:val="Normal"/>
    <w:next w:val="Normal"/>
    <w:qFormat/>
    <w:rsid w:val="00DE5CA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B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2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williams@ncuh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nedumpara@gmail.com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IMMEDIATE BREAST RECONSTRUCTION (IBR) ON BREAST CANCER RECURRENCE</vt:lpstr>
    </vt:vector>
  </TitlesOfParts>
  <Company>Informatics Service</Company>
  <LinksUpToDate>false</LinksUpToDate>
  <CharactersWithSpaces>21288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http://www.sciencedirect.com/science/journal/09609776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IMMEDIATE BREAST RECONSTRUCTION (IBR) ON BREAST CANCER RECURRENCE</dc:title>
  <dc:subject/>
  <dc:creator>tnedumpara</dc:creator>
  <cp:keywords/>
  <cp:lastModifiedBy>Stephens, Anna</cp:lastModifiedBy>
  <cp:revision>2</cp:revision>
  <cp:lastPrinted>2010-01-18T23:58:00Z</cp:lastPrinted>
  <dcterms:created xsi:type="dcterms:W3CDTF">2022-04-26T09:39:00Z</dcterms:created>
  <dcterms:modified xsi:type="dcterms:W3CDTF">2022-04-26T09:39:00Z</dcterms:modified>
</cp:coreProperties>
</file>