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F42E" w14:textId="77777777" w:rsidR="007123BB" w:rsidRDefault="007123BB" w:rsidP="004952F1">
      <w:pPr>
        <w:pStyle w:val="Heading1"/>
      </w:pPr>
      <w:r>
        <w:t xml:space="preserve">Title: </w:t>
      </w:r>
      <w:r w:rsidR="000F347E">
        <w:t>Maternal and prenatal factors</w:t>
      </w:r>
      <w:r w:rsidR="00CD6E90">
        <w:t xml:space="preserve"> influencing the outcome of </w:t>
      </w:r>
      <w:r>
        <w:t xml:space="preserve">prostaglandin E2 </w:t>
      </w:r>
      <w:r w:rsidR="00411359">
        <w:t>in</w:t>
      </w:r>
      <w:r>
        <w:t xml:space="preserve">duced labour </w:t>
      </w:r>
    </w:p>
    <w:p w14:paraId="55A049F9" w14:textId="77777777" w:rsidR="00672504" w:rsidRDefault="00672504" w:rsidP="001C547E">
      <w:pPr>
        <w:widowControl w:val="0"/>
        <w:autoSpaceDE w:val="0"/>
        <w:autoSpaceDN w:val="0"/>
        <w:adjustRightInd w:val="0"/>
        <w:spacing w:before="100" w:after="100" w:line="480" w:lineRule="auto"/>
      </w:pPr>
    </w:p>
    <w:p w14:paraId="0142B751" w14:textId="77777777" w:rsidR="00672504" w:rsidRDefault="00672504" w:rsidP="001C547E">
      <w:pPr>
        <w:spacing w:line="480" w:lineRule="auto"/>
        <w:rPr>
          <w:bCs/>
        </w:rPr>
      </w:pPr>
      <w:r w:rsidRPr="00DC7E22">
        <w:rPr>
          <w:bCs/>
        </w:rPr>
        <w:t>Running title:</w:t>
      </w:r>
      <w:r>
        <w:rPr>
          <w:bCs/>
        </w:rPr>
        <w:t xml:space="preserve"> </w:t>
      </w:r>
      <w:r w:rsidR="00464987">
        <w:rPr>
          <w:bCs/>
        </w:rPr>
        <w:t>prostaglandin E2 and labour induction</w:t>
      </w:r>
      <w:r>
        <w:rPr>
          <w:bCs/>
        </w:rPr>
        <w:t xml:space="preserve">.  </w:t>
      </w:r>
    </w:p>
    <w:p w14:paraId="777F5A71" w14:textId="77777777" w:rsidR="00B30F9A" w:rsidRPr="00DC7E22" w:rsidRDefault="00B30F9A" w:rsidP="001C547E">
      <w:pPr>
        <w:spacing w:line="480" w:lineRule="auto"/>
        <w:rPr>
          <w:bCs/>
        </w:rPr>
      </w:pPr>
    </w:p>
    <w:p w14:paraId="6BBD8DD8" w14:textId="77777777" w:rsidR="00672504" w:rsidRPr="00DC7E22" w:rsidRDefault="00672504" w:rsidP="001C547E">
      <w:pPr>
        <w:spacing w:line="480" w:lineRule="auto"/>
        <w:rPr>
          <w:b/>
          <w:bCs/>
        </w:rPr>
      </w:pPr>
      <w:r w:rsidRPr="00DC7E22">
        <w:rPr>
          <w:b/>
          <w:bCs/>
        </w:rPr>
        <w:t>Authors:</w:t>
      </w:r>
    </w:p>
    <w:p w14:paraId="61F79951" w14:textId="77777777" w:rsidR="00672504" w:rsidRPr="00434A3B" w:rsidRDefault="00672504" w:rsidP="001C547E">
      <w:pPr>
        <w:spacing w:line="480" w:lineRule="auto"/>
        <w:ind w:left="720" w:firstLine="720"/>
      </w:pPr>
      <w:r w:rsidRPr="00434A3B">
        <w:t xml:space="preserve">F Memon MBBS </w:t>
      </w:r>
      <w:r w:rsidR="00E365F4" w:rsidRPr="00434A3B">
        <w:t>MRCOG</w:t>
      </w:r>
      <w:r w:rsidRPr="00434A3B">
        <w:rPr>
          <w:vertAlign w:val="superscript"/>
        </w:rPr>
        <w:t>1</w:t>
      </w:r>
      <w:r w:rsidRPr="00434A3B">
        <w:tab/>
      </w:r>
    </w:p>
    <w:p w14:paraId="72C1B062" w14:textId="77777777" w:rsidR="00672504" w:rsidRDefault="00672504" w:rsidP="00434A3B">
      <w:pPr>
        <w:spacing w:line="480" w:lineRule="auto"/>
        <w:ind w:left="720" w:firstLine="720"/>
      </w:pPr>
      <w:r w:rsidRPr="00434A3B">
        <w:t xml:space="preserve">A </w:t>
      </w:r>
      <w:r w:rsidR="00E365F4" w:rsidRPr="00434A3B">
        <w:t>Wijesriwardana</w:t>
      </w:r>
      <w:r w:rsidR="009F502C">
        <w:t xml:space="preserve"> </w:t>
      </w:r>
      <w:r w:rsidRPr="00DC7E22">
        <w:t>FRCS</w:t>
      </w:r>
      <w:r w:rsidRPr="002D3AFE">
        <w:rPr>
          <w:vertAlign w:val="superscript"/>
        </w:rPr>
        <w:t>1</w:t>
      </w:r>
      <w:r>
        <w:tab/>
      </w:r>
    </w:p>
    <w:p w14:paraId="0B989864" w14:textId="77777777" w:rsidR="00672504" w:rsidRPr="00672504" w:rsidRDefault="00672504" w:rsidP="001C547E">
      <w:pPr>
        <w:spacing w:line="480" w:lineRule="auto"/>
        <w:ind w:left="720" w:firstLine="720"/>
        <w:rPr>
          <w:vertAlign w:val="superscript"/>
        </w:rPr>
      </w:pPr>
      <w:r>
        <w:t>L Jonker PhD</w:t>
      </w:r>
      <w:r w:rsidRPr="002D3AFE">
        <w:rPr>
          <w:vertAlign w:val="superscript"/>
        </w:rPr>
        <w:t>2</w:t>
      </w:r>
      <w:r w:rsidR="00E30203">
        <w:rPr>
          <w:vertAlign w:val="superscript"/>
        </w:rPr>
        <w:t>,#</w:t>
      </w:r>
      <w:r>
        <w:tab/>
      </w:r>
    </w:p>
    <w:p w14:paraId="781AE04F" w14:textId="77777777" w:rsidR="00672504" w:rsidRPr="002D3AFE" w:rsidRDefault="00672504" w:rsidP="001C547E">
      <w:pPr>
        <w:spacing w:line="480" w:lineRule="auto"/>
      </w:pPr>
    </w:p>
    <w:p w14:paraId="3A1C2871" w14:textId="77777777" w:rsidR="00672504" w:rsidRDefault="00672504" w:rsidP="001C547E">
      <w:pPr>
        <w:numPr>
          <w:ilvl w:val="0"/>
          <w:numId w:val="1"/>
        </w:numPr>
        <w:spacing w:line="480" w:lineRule="auto"/>
      </w:pPr>
      <w:smartTag w:uri="urn:schemas-microsoft-com:office:smarttags" w:element="PlaceName">
        <w:r>
          <w:t>North</w:t>
        </w:r>
      </w:smartTag>
      <w:r>
        <w:t xml:space="preserve"> </w:t>
      </w:r>
      <w:smartTag w:uri="urn:schemas-microsoft-com:office:smarttags" w:element="PlaceName">
        <w:r>
          <w:t>Cumbria</w:t>
        </w:r>
      </w:smartTag>
      <w:r>
        <w:t xml:space="preserve"> </w:t>
      </w:r>
      <w:smartTag w:uri="urn:schemas-microsoft-com:office:smarttags" w:element="PlaceType">
        <w:r>
          <w:t>University</w:t>
        </w:r>
      </w:smartTag>
      <w:r>
        <w:t xml:space="preserve"> </w:t>
      </w:r>
      <w:smartTag w:uri="urn:schemas-microsoft-com:office:smarttags" w:element="PlaceType">
        <w:r>
          <w:t>Hospitals</w:t>
        </w:r>
      </w:smartTag>
      <w:r>
        <w:t xml:space="preserve">, </w:t>
      </w:r>
      <w:r w:rsidRPr="00DC7E22">
        <w:t>Department of O</w:t>
      </w:r>
      <w:r>
        <w:t>bstetrics</w:t>
      </w:r>
      <w:r w:rsidRPr="00DC7E22">
        <w:t xml:space="preserve">, </w:t>
      </w:r>
      <w:smartTag w:uri="urn:schemas-microsoft-com:office:smarttags" w:element="City">
        <w:r w:rsidRPr="00DC7E22">
          <w:t>Cumberland</w:t>
        </w:r>
      </w:smartTag>
      <w:r w:rsidRPr="00DC7E22">
        <w:t xml:space="preserve"> Infirmary,</w:t>
      </w:r>
      <w:r>
        <w:t xml:space="preserve"> </w:t>
      </w:r>
      <w:smartTag w:uri="urn:schemas-microsoft-com:office:smarttags" w:element="place">
        <w:smartTag w:uri="urn:schemas-microsoft-com:office:smarttags" w:element="City">
          <w:r w:rsidRPr="00DC7E22">
            <w:t>Carlisle</w:t>
          </w:r>
        </w:smartTag>
        <w:r>
          <w:t xml:space="preserve">, </w:t>
        </w:r>
        <w:smartTag w:uri="urn:schemas-microsoft-com:office:smarttags" w:element="PostalCode">
          <w:r>
            <w:t>CA2 7HY</w:t>
          </w:r>
        </w:smartTag>
        <w:r>
          <w:t xml:space="preserve">, </w:t>
        </w:r>
        <w:smartTag w:uri="urn:schemas-microsoft-com:office:smarttags" w:element="country-region">
          <w:r>
            <w:t>United Kingdom</w:t>
          </w:r>
        </w:smartTag>
      </w:smartTag>
      <w:r w:rsidRPr="00DC7E22">
        <w:t>.</w:t>
      </w:r>
    </w:p>
    <w:p w14:paraId="654846B3" w14:textId="77777777" w:rsidR="00672504" w:rsidRPr="00DC7E22" w:rsidRDefault="00672504" w:rsidP="001C547E">
      <w:pPr>
        <w:numPr>
          <w:ilvl w:val="0"/>
          <w:numId w:val="1"/>
        </w:numPr>
        <w:spacing w:line="480" w:lineRule="auto"/>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Cumbria</w:t>
          </w:r>
        </w:smartTag>
      </w:smartTag>
      <w:r>
        <w:t xml:space="preserve">, Faculty of Health and Medical Sciences, </w:t>
      </w:r>
      <w:smartTag w:uri="urn:schemas-microsoft-com:office:smarttags" w:element="address">
        <w:smartTag w:uri="urn:schemas-microsoft-com:office:smarttags" w:element="Street">
          <w:r>
            <w:t>Fusehill Street</w:t>
          </w:r>
        </w:smartTag>
        <w:r>
          <w:t xml:space="preserve">, </w:t>
        </w:r>
        <w:smartTag w:uri="urn:schemas-microsoft-com:office:smarttags" w:element="City">
          <w:r>
            <w:t>Carlisle</w:t>
          </w:r>
        </w:smartTag>
        <w:r>
          <w:t xml:space="preserve">, </w:t>
        </w:r>
        <w:smartTag w:uri="urn:schemas-microsoft-com:office:smarttags" w:element="PostalCode">
          <w:r>
            <w:t>CA1 2HH</w:t>
          </w:r>
        </w:smartTag>
        <w:r>
          <w:t xml:space="preserve">, </w:t>
        </w:r>
        <w:smartTag w:uri="urn:schemas-microsoft-com:office:smarttags" w:element="country-region">
          <w:r>
            <w:t>United Kingdom</w:t>
          </w:r>
        </w:smartTag>
      </w:smartTag>
      <w:r>
        <w:t xml:space="preserve">.  </w:t>
      </w:r>
    </w:p>
    <w:p w14:paraId="20CD1E17" w14:textId="77777777" w:rsidR="00672504" w:rsidRPr="00DC7E22" w:rsidRDefault="00672504" w:rsidP="001C547E">
      <w:pPr>
        <w:spacing w:line="480" w:lineRule="auto"/>
      </w:pPr>
    </w:p>
    <w:p w14:paraId="780822C2" w14:textId="77777777" w:rsidR="00E30203" w:rsidRDefault="00672504" w:rsidP="00E30203">
      <w:pPr>
        <w:autoSpaceDE w:val="0"/>
        <w:autoSpaceDN w:val="0"/>
        <w:adjustRightInd w:val="0"/>
        <w:spacing w:line="480" w:lineRule="auto"/>
        <w:rPr>
          <w:lang w:eastAsia="en-GB"/>
        </w:rPr>
      </w:pPr>
      <w:r>
        <w:rPr>
          <w:b/>
          <w:bCs/>
        </w:rPr>
        <w:t xml:space="preserve"># Please address all correspondence to: </w:t>
      </w:r>
      <w:r w:rsidR="00E30203">
        <w:rPr>
          <w:lang w:eastAsia="en-GB"/>
        </w:rPr>
        <w:t>Dr Leon Jonker, University of Cumbria, Faculty of</w:t>
      </w:r>
    </w:p>
    <w:p w14:paraId="6B2A547A" w14:textId="77777777" w:rsidR="00E30203" w:rsidRDefault="00E30203" w:rsidP="00E30203">
      <w:pPr>
        <w:autoSpaceDE w:val="0"/>
        <w:autoSpaceDN w:val="0"/>
        <w:adjustRightInd w:val="0"/>
        <w:spacing w:line="480" w:lineRule="auto"/>
        <w:rPr>
          <w:lang w:eastAsia="en-GB"/>
        </w:rPr>
      </w:pPr>
      <w:r>
        <w:rPr>
          <w:lang w:eastAsia="en-GB"/>
        </w:rPr>
        <w:t>Health and Medical Sciences, Fusehill Street, Carlisle, CA1 2HH, United Kingdom.</w:t>
      </w:r>
    </w:p>
    <w:p w14:paraId="51F7AAA7" w14:textId="77777777" w:rsidR="00FC034F" w:rsidRDefault="00E30203" w:rsidP="00E30203">
      <w:pPr>
        <w:spacing w:line="480" w:lineRule="auto"/>
      </w:pPr>
      <w:r>
        <w:rPr>
          <w:lang w:eastAsia="en-GB"/>
        </w:rPr>
        <w:t>e-mail: leon.jonker@cumbria.ac.uk, Tel 01228 814689, Fax 01228 814689.</w:t>
      </w:r>
      <w:r>
        <w:t xml:space="preserve"> </w:t>
      </w:r>
    </w:p>
    <w:p w14:paraId="255ABCE2" w14:textId="4C571F95" w:rsidR="00FC034F" w:rsidRDefault="00FC034F" w:rsidP="00726291">
      <w:pPr>
        <w:spacing w:line="360" w:lineRule="auto"/>
        <w:ind w:left="720" w:hanging="720"/>
      </w:pPr>
    </w:p>
    <w:p w14:paraId="456379A9" w14:textId="143F1CC4" w:rsidR="00996131" w:rsidRDefault="00996131" w:rsidP="00726291">
      <w:pPr>
        <w:spacing w:line="360" w:lineRule="auto"/>
        <w:ind w:left="720" w:hanging="720"/>
      </w:pPr>
    </w:p>
    <w:p w14:paraId="543F52E9" w14:textId="1C5C87F8" w:rsidR="00996131" w:rsidRDefault="00996131" w:rsidP="00726291">
      <w:pPr>
        <w:spacing w:line="360" w:lineRule="auto"/>
        <w:ind w:left="720" w:hanging="720"/>
      </w:pPr>
    </w:p>
    <w:p w14:paraId="24D8E7F9" w14:textId="3047FBBF" w:rsidR="00996131" w:rsidRDefault="00996131" w:rsidP="00726291">
      <w:pPr>
        <w:spacing w:line="360" w:lineRule="auto"/>
        <w:ind w:left="720" w:hanging="720"/>
      </w:pPr>
    </w:p>
    <w:p w14:paraId="5491A261" w14:textId="720F54D4" w:rsidR="00996131" w:rsidRDefault="00996131" w:rsidP="00726291">
      <w:pPr>
        <w:spacing w:line="360" w:lineRule="auto"/>
        <w:ind w:left="720" w:hanging="720"/>
      </w:pPr>
    </w:p>
    <w:p w14:paraId="513630F1" w14:textId="270064FE" w:rsidR="00996131" w:rsidRDefault="00996131" w:rsidP="00726291">
      <w:pPr>
        <w:spacing w:line="360" w:lineRule="auto"/>
        <w:ind w:left="720" w:hanging="720"/>
      </w:pPr>
    </w:p>
    <w:p w14:paraId="552F3D23" w14:textId="104951E4" w:rsidR="00996131" w:rsidRDefault="00996131" w:rsidP="00726291">
      <w:pPr>
        <w:spacing w:line="360" w:lineRule="auto"/>
        <w:ind w:left="720" w:hanging="720"/>
      </w:pPr>
    </w:p>
    <w:p w14:paraId="67D75A10" w14:textId="4BA70788" w:rsidR="00996131" w:rsidRDefault="00996131" w:rsidP="00726291">
      <w:pPr>
        <w:spacing w:line="360" w:lineRule="auto"/>
        <w:ind w:left="720" w:hanging="720"/>
      </w:pPr>
    </w:p>
    <w:p w14:paraId="61D8BF93" w14:textId="533A5C11" w:rsidR="00996131" w:rsidRDefault="00996131" w:rsidP="00726291">
      <w:pPr>
        <w:spacing w:line="360" w:lineRule="auto"/>
        <w:ind w:left="720" w:hanging="720"/>
      </w:pPr>
    </w:p>
    <w:p w14:paraId="0A72F8CB" w14:textId="77777777" w:rsidR="00996131" w:rsidRPr="00B45FBC" w:rsidRDefault="00996131" w:rsidP="00996131">
      <w:pPr>
        <w:autoSpaceDE w:val="0"/>
        <w:autoSpaceDN w:val="0"/>
        <w:adjustRightInd w:val="0"/>
        <w:spacing w:line="480" w:lineRule="auto"/>
        <w:rPr>
          <w:rFonts w:ascii="Cambria" w:hAnsi="Cambria"/>
          <w:sz w:val="32"/>
          <w:szCs w:val="32"/>
        </w:rPr>
      </w:pPr>
      <w:r w:rsidRPr="000D40BB">
        <w:rPr>
          <w:rStyle w:val="Heading1Char"/>
        </w:rPr>
        <w:t>Summary</w:t>
      </w:r>
      <w:r w:rsidRPr="00B45FBC">
        <w:rPr>
          <w:rFonts w:ascii="Cambria" w:hAnsi="Cambria"/>
          <w:sz w:val="32"/>
          <w:szCs w:val="32"/>
        </w:rPr>
        <w:t xml:space="preserve"> </w:t>
      </w:r>
    </w:p>
    <w:p w14:paraId="77BF357F" w14:textId="77777777" w:rsidR="00996131" w:rsidRDefault="00996131" w:rsidP="00996131">
      <w:pPr>
        <w:widowControl w:val="0"/>
        <w:autoSpaceDE w:val="0"/>
        <w:autoSpaceDN w:val="0"/>
        <w:adjustRightInd w:val="0"/>
        <w:spacing w:before="100" w:after="100" w:line="480" w:lineRule="auto"/>
      </w:pPr>
      <w:r>
        <w:t>In this retrospective cohort study involving 393 singleton pregnancies, we evaluated the maternal and prenatal factors influencing the use of and the outcome of prostaglandin E</w:t>
      </w:r>
      <w:r>
        <w:rPr>
          <w:vertAlign w:val="subscript"/>
        </w:rPr>
        <w:t>2</w:t>
      </w:r>
      <w:r>
        <w:t xml:space="preserve"> (PGE</w:t>
      </w:r>
      <w:r>
        <w:rPr>
          <w:vertAlign w:val="subscript"/>
        </w:rPr>
        <w:t>2</w:t>
      </w:r>
      <w:r>
        <w:t xml:space="preserve">) induced labours. Only a nulliparous pregnancy was shown to be a significant predictor of the use of more than one dose of </w:t>
      </w:r>
      <w:bookmarkStart w:id="0" w:name="OLE_LINK5"/>
      <w:bookmarkStart w:id="1" w:name="OLE_LINK6"/>
      <w:r>
        <w:t>PGE</w:t>
      </w:r>
      <w:r>
        <w:rPr>
          <w:vertAlign w:val="subscript"/>
        </w:rPr>
        <w:t>2</w:t>
      </w:r>
      <w:bookmarkEnd w:id="0"/>
      <w:bookmarkEnd w:id="1"/>
      <w:r>
        <w:t xml:space="preserve"> (odds ratio [OR] 2.73, 95% confidence interval [CI] 1.61 to 4.63). When the type of delivery was assessed, nulliparous status was significantly also associated with a decreased chance of vaginal delivery (OR 0.12, 95% CI 0.045 to 0.32). Other variables that positively influence the chance of vaginal delivery include a mother’s age being under 30 years (OR 2.63, 95% CI 1.51 to 4.58) and a single dose of PGE</w:t>
      </w:r>
      <w:r>
        <w:rPr>
          <w:vertAlign w:val="subscript"/>
        </w:rPr>
        <w:t>2</w:t>
      </w:r>
      <w:r>
        <w:t xml:space="preserve"> (OR 2.86, 95% CI 1.21 to 6.79). Gestational age, size of the baby and maternal BMI have much less impact on  PGE</w:t>
      </w:r>
      <w:r>
        <w:rPr>
          <w:vertAlign w:val="subscript"/>
        </w:rPr>
        <w:t xml:space="preserve">2 </w:t>
      </w:r>
      <w:r>
        <w:t xml:space="preserve">use and chance of successful vaginal delivery than parity. </w:t>
      </w:r>
    </w:p>
    <w:p w14:paraId="7D743A5A" w14:textId="77777777" w:rsidR="00996131" w:rsidRDefault="00996131" w:rsidP="00996131">
      <w:pPr>
        <w:widowControl w:val="0"/>
        <w:autoSpaceDE w:val="0"/>
        <w:autoSpaceDN w:val="0"/>
        <w:adjustRightInd w:val="0"/>
        <w:spacing w:before="100" w:after="100" w:line="480" w:lineRule="auto"/>
      </w:pPr>
    </w:p>
    <w:p w14:paraId="6EEF7A37" w14:textId="77777777" w:rsidR="00996131" w:rsidRDefault="00996131" w:rsidP="00996131">
      <w:pPr>
        <w:widowControl w:val="0"/>
        <w:autoSpaceDE w:val="0"/>
        <w:autoSpaceDN w:val="0"/>
        <w:adjustRightInd w:val="0"/>
        <w:spacing w:before="100" w:after="100" w:line="480" w:lineRule="auto"/>
      </w:pPr>
      <w:r>
        <w:rPr>
          <w:b/>
        </w:rPr>
        <w:t>K</w:t>
      </w:r>
      <w:r w:rsidRPr="00263D08">
        <w:rPr>
          <w:b/>
        </w:rPr>
        <w:t>eywords</w:t>
      </w:r>
      <w:r>
        <w:t xml:space="preserve">: Body Mass Index, Fetal birth weight, Gestation, Labour induction, Prostaglandin E2, Prostin. </w:t>
      </w:r>
    </w:p>
    <w:p w14:paraId="743082FE" w14:textId="77777777" w:rsidR="00996131" w:rsidRDefault="00996131" w:rsidP="00996131">
      <w:pPr>
        <w:widowControl w:val="0"/>
        <w:autoSpaceDE w:val="0"/>
        <w:autoSpaceDN w:val="0"/>
        <w:adjustRightInd w:val="0"/>
        <w:spacing w:before="100" w:after="100" w:line="480" w:lineRule="auto"/>
      </w:pPr>
    </w:p>
    <w:p w14:paraId="041E4396" w14:textId="77777777" w:rsidR="00996131" w:rsidRDefault="00996131" w:rsidP="00996131">
      <w:pPr>
        <w:pStyle w:val="Heading4"/>
      </w:pPr>
      <w:r>
        <w:br w:type="page"/>
      </w:r>
      <w:r>
        <w:lastRenderedPageBreak/>
        <w:t xml:space="preserve">Introduction </w:t>
      </w:r>
    </w:p>
    <w:p w14:paraId="181387F8" w14:textId="77777777" w:rsidR="00996131" w:rsidRDefault="00996131" w:rsidP="00996131">
      <w:pPr>
        <w:widowControl w:val="0"/>
        <w:autoSpaceDE w:val="0"/>
        <w:autoSpaceDN w:val="0"/>
        <w:adjustRightInd w:val="0"/>
        <w:spacing w:before="100" w:after="100" w:line="480" w:lineRule="auto"/>
      </w:pPr>
      <w:r>
        <w:t>Induction of labour is a common procedure in obstetrics, observed in up to 30% of pregnancies (Laws and Sullivan, 2004). Vaginal prostaglandin E</w:t>
      </w:r>
      <w:r>
        <w:rPr>
          <w:vertAlign w:val="subscript"/>
        </w:rPr>
        <w:t>2</w:t>
      </w:r>
      <w:r>
        <w:t xml:space="preserve"> (PGE</w:t>
      </w:r>
      <w:r>
        <w:rPr>
          <w:vertAlign w:val="subscript"/>
        </w:rPr>
        <w:t>2</w:t>
      </w:r>
      <w:r>
        <w:t xml:space="preserve">) is widely used as a cervical ripening and labour-inducing agent at term. However, despite the importance of inducing labours to end pregnancies, this intervention may result in adverse maternal or foetal effects (Kundodyiwa et al, 2009). Therefore it should only be indicated if the benefits of delivery outweigh the risks of awaiting spontaneous labour (RCOG, 2008). The established indications of induction are usually universal e.g. hypertensive disorders of pregnancy, post-term pregnancy, preterm-prelabour rupture of membranes, intrauterine growth restriction, diabetes, and other maternal or fetal conditions (RCOG 2008; Yeast, 1999; Sanchez-Ramos, 2005; Lydon-Rochelle et al, 2007). </w:t>
      </w:r>
    </w:p>
    <w:p w14:paraId="4053EA98" w14:textId="77777777" w:rsidR="00996131" w:rsidRDefault="00996131" w:rsidP="00996131">
      <w:pPr>
        <w:widowControl w:val="0"/>
        <w:autoSpaceDE w:val="0"/>
        <w:autoSpaceDN w:val="0"/>
        <w:adjustRightInd w:val="0"/>
        <w:spacing w:before="100" w:after="100" w:line="480" w:lineRule="auto"/>
      </w:pPr>
      <w:r>
        <w:t>There has been a rise in caesarean section rates in the last decade which has subsequently led to an increase in neonatal morbidity and mortality (Wax, 2006; MacDorman et al, 2008). In order to slow the rise in caesarean section rates, induction of labour has been seen as an alternative to conducting caesarean sections (Coonrod et al, 2008). On the basis of above factors, this study was undertaken to assess what factors influence the success of induction of labour when induced with PGE</w:t>
      </w:r>
      <w:r>
        <w:rPr>
          <w:vertAlign w:val="subscript"/>
        </w:rPr>
        <w:t>2</w:t>
      </w:r>
      <w:r>
        <w:t xml:space="preserve">. </w:t>
      </w:r>
    </w:p>
    <w:p w14:paraId="6E5B9737" w14:textId="77777777" w:rsidR="00996131" w:rsidRDefault="00996131" w:rsidP="00996131">
      <w:pPr>
        <w:widowControl w:val="0"/>
        <w:autoSpaceDE w:val="0"/>
        <w:autoSpaceDN w:val="0"/>
        <w:adjustRightInd w:val="0"/>
        <w:spacing w:before="100" w:after="100" w:line="480" w:lineRule="auto"/>
      </w:pPr>
    </w:p>
    <w:p w14:paraId="4AC51C8E" w14:textId="77777777" w:rsidR="00996131" w:rsidRDefault="00996131" w:rsidP="00996131">
      <w:pPr>
        <w:pStyle w:val="Heading1"/>
        <w:spacing w:line="480" w:lineRule="auto"/>
      </w:pPr>
      <w:r>
        <w:t>Patients and methods</w:t>
      </w:r>
    </w:p>
    <w:p w14:paraId="06E54BEE" w14:textId="77777777" w:rsidR="00996131" w:rsidRPr="00263D08" w:rsidRDefault="00996131" w:rsidP="00996131">
      <w:pPr>
        <w:widowControl w:val="0"/>
        <w:autoSpaceDE w:val="0"/>
        <w:autoSpaceDN w:val="0"/>
        <w:adjustRightInd w:val="0"/>
        <w:spacing w:before="100" w:after="100" w:line="480" w:lineRule="auto"/>
        <w:rPr>
          <w:b/>
        </w:rPr>
      </w:pPr>
      <w:r w:rsidRPr="00263D08">
        <w:rPr>
          <w:b/>
        </w:rPr>
        <w:t xml:space="preserve">Study design </w:t>
      </w:r>
      <w:r>
        <w:rPr>
          <w:b/>
        </w:rPr>
        <w:t>and patients</w:t>
      </w:r>
    </w:p>
    <w:p w14:paraId="259EA2DC" w14:textId="77777777" w:rsidR="00996131" w:rsidRDefault="00996131" w:rsidP="00996131">
      <w:pPr>
        <w:autoSpaceDE w:val="0"/>
        <w:autoSpaceDN w:val="0"/>
        <w:adjustRightInd w:val="0"/>
        <w:spacing w:line="480" w:lineRule="auto"/>
        <w:rPr>
          <w:color w:val="231F20"/>
          <w:lang w:eastAsia="en-GB"/>
        </w:rPr>
      </w:pPr>
      <w:r>
        <w:rPr>
          <w:color w:val="231F20"/>
          <w:lang w:eastAsia="en-GB"/>
        </w:rPr>
        <w:t xml:space="preserve">We conducted a </w:t>
      </w:r>
      <w:r w:rsidRPr="003974AF">
        <w:rPr>
          <w:color w:val="231F20"/>
          <w:lang w:eastAsia="en-GB"/>
        </w:rPr>
        <w:t xml:space="preserve">retrospective cohort study </w:t>
      </w:r>
      <w:r>
        <w:rPr>
          <w:color w:val="231F20"/>
          <w:lang w:eastAsia="en-GB"/>
        </w:rPr>
        <w:t xml:space="preserve">concerning </w:t>
      </w:r>
      <w:r w:rsidRPr="003974AF">
        <w:rPr>
          <w:color w:val="231F20"/>
          <w:lang w:eastAsia="en-GB"/>
        </w:rPr>
        <w:t>women who</w:t>
      </w:r>
      <w:r>
        <w:rPr>
          <w:color w:val="231F20"/>
          <w:lang w:eastAsia="en-GB"/>
        </w:rPr>
        <w:t xml:space="preserve"> </w:t>
      </w:r>
      <w:r w:rsidRPr="003974AF">
        <w:rPr>
          <w:color w:val="231F20"/>
          <w:lang w:eastAsia="en-GB"/>
        </w:rPr>
        <w:t xml:space="preserve">delivered at the </w:t>
      </w:r>
      <w:r>
        <w:rPr>
          <w:color w:val="231F20"/>
          <w:lang w:eastAsia="en-GB"/>
        </w:rPr>
        <w:t xml:space="preserve">maternity unit of a general district hospital in the UK, and who were prescribed one or more doses of </w:t>
      </w:r>
      <w:r>
        <w:t>PGE</w:t>
      </w:r>
      <w:r>
        <w:rPr>
          <w:vertAlign w:val="subscript"/>
        </w:rPr>
        <w:t>2</w:t>
      </w:r>
      <w:r w:rsidRPr="00BA1334">
        <w:rPr>
          <w:color w:val="231F20"/>
          <w:lang w:eastAsia="en-GB"/>
        </w:rPr>
        <w:t>. The indications were post-dates pregnancy (n=169; 43%), pregnancy induced hypertension and pre-eclampsia (n=73, 18), small for gestational age (n=56,</w:t>
      </w:r>
      <w:r>
        <w:rPr>
          <w:color w:val="231F20"/>
          <w:lang w:eastAsia="en-GB"/>
        </w:rPr>
        <w:t xml:space="preserve"> </w:t>
      </w:r>
      <w:r w:rsidRPr="00BA1334">
        <w:rPr>
          <w:color w:val="231F20"/>
          <w:lang w:eastAsia="en-GB"/>
        </w:rPr>
        <w:t>14%), prelabour spontaneous rupture of membranes for &gt; 24 hours (n=30</w:t>
      </w:r>
      <w:r>
        <w:rPr>
          <w:color w:val="231F20"/>
          <w:lang w:eastAsia="en-GB"/>
        </w:rPr>
        <w:t>,</w:t>
      </w:r>
      <w:r w:rsidRPr="00BA1334">
        <w:rPr>
          <w:color w:val="231F20"/>
          <w:lang w:eastAsia="en-GB"/>
        </w:rPr>
        <w:t xml:space="preserve"> 8%), or other causes such as diabetes, large for dates, obstetric cholestasis (n=65, 17%).</w:t>
      </w:r>
      <w:r>
        <w:rPr>
          <w:color w:val="231F20"/>
          <w:lang w:eastAsia="en-GB"/>
        </w:rPr>
        <w:t xml:space="preserve"> </w:t>
      </w:r>
      <w:r w:rsidRPr="00CD6987">
        <w:rPr>
          <w:color w:val="231F20"/>
          <w:lang w:eastAsia="en-GB"/>
        </w:rPr>
        <w:t>Use of PGE2</w:t>
      </w:r>
      <w:r>
        <w:rPr>
          <w:color w:val="231F20"/>
          <w:lang w:eastAsia="en-GB"/>
        </w:rPr>
        <w:t xml:space="preserve"> was also indicated due to Bishop score being 6 or lower.</w:t>
      </w:r>
      <w:r w:rsidRPr="00BA1334">
        <w:rPr>
          <w:color w:val="231F20"/>
          <w:lang w:eastAsia="en-GB"/>
        </w:rPr>
        <w:t xml:space="preserve"> </w:t>
      </w:r>
    </w:p>
    <w:p w14:paraId="51DA8AA4" w14:textId="77777777" w:rsidR="00996131" w:rsidRPr="003974AF" w:rsidRDefault="00996131" w:rsidP="00996131">
      <w:pPr>
        <w:autoSpaceDE w:val="0"/>
        <w:autoSpaceDN w:val="0"/>
        <w:adjustRightInd w:val="0"/>
        <w:spacing w:line="480" w:lineRule="auto"/>
      </w:pPr>
      <w:r w:rsidRPr="00BA1334">
        <w:rPr>
          <w:color w:val="231F20"/>
          <w:lang w:eastAsia="en-GB"/>
        </w:rPr>
        <w:t>A total</w:t>
      </w:r>
      <w:r>
        <w:rPr>
          <w:color w:val="231F20"/>
          <w:lang w:eastAsia="en-GB"/>
        </w:rPr>
        <w:t xml:space="preserve"> of 393 singleton pregnancies were included, covering the </w:t>
      </w:r>
      <w:r w:rsidRPr="00BA1334">
        <w:rPr>
          <w:color w:val="231F20"/>
          <w:lang w:eastAsia="en-GB"/>
        </w:rPr>
        <w:t>period January 2006 to December 2008. Multiple pregnancies were excluded from analysis as were</w:t>
      </w:r>
      <w:r>
        <w:rPr>
          <w:color w:val="231F20"/>
          <w:lang w:eastAsia="en-GB"/>
        </w:rPr>
        <w:t xml:space="preserve"> those where the BMI of the expectant mother was not recorded. There were no other exclusion criteria applied, like e.g. age constrictions or contraindication for vaginal delivery. Administration of PGE</w:t>
      </w:r>
      <w:r>
        <w:rPr>
          <w:color w:val="231F20"/>
          <w:vertAlign w:val="subscript"/>
          <w:lang w:eastAsia="en-GB"/>
        </w:rPr>
        <w:t>2</w:t>
      </w:r>
      <w:r>
        <w:rPr>
          <w:color w:val="231F20"/>
          <w:lang w:eastAsia="en-GB"/>
        </w:rPr>
        <w:t xml:space="preserve"> is performed as </w:t>
      </w:r>
      <w:r w:rsidRPr="00CD6987">
        <w:rPr>
          <w:color w:val="231F20"/>
          <w:lang w:eastAsia="en-GB"/>
        </w:rPr>
        <w:t xml:space="preserve">follows: </w:t>
      </w:r>
      <w:r w:rsidRPr="002D72C2">
        <w:rPr>
          <w:color w:val="231F20"/>
          <w:lang w:eastAsia="en-GB"/>
        </w:rPr>
        <w:t>first two 3mg tablets each 6 hours apart, followed by third 3 mg tablet if required 12 hours after 2</w:t>
      </w:r>
      <w:r w:rsidRPr="002D72C2">
        <w:rPr>
          <w:color w:val="231F20"/>
          <w:vertAlign w:val="superscript"/>
          <w:lang w:eastAsia="en-GB"/>
        </w:rPr>
        <w:t>nd</w:t>
      </w:r>
      <w:r w:rsidRPr="002D72C2">
        <w:rPr>
          <w:color w:val="231F20"/>
          <w:lang w:eastAsia="en-GB"/>
        </w:rPr>
        <w:t xml:space="preserve"> dose. </w:t>
      </w:r>
      <w:r w:rsidRPr="002D72C2">
        <w:t xml:space="preserve">The patients in this cohort were given three doses of </w:t>
      </w:r>
      <w:r w:rsidRPr="002D72C2">
        <w:rPr>
          <w:color w:val="231F20"/>
          <w:lang w:eastAsia="en-GB"/>
        </w:rPr>
        <w:t>PGE</w:t>
      </w:r>
      <w:r w:rsidRPr="002D72C2">
        <w:rPr>
          <w:color w:val="231F20"/>
          <w:vertAlign w:val="subscript"/>
          <w:lang w:eastAsia="en-GB"/>
        </w:rPr>
        <w:t>2</w:t>
      </w:r>
      <w:r w:rsidRPr="002D72C2">
        <w:t xml:space="preserve"> only when they were nulliparous or had given birth vaginally previously. For those who had a previous caesarean section the maximum number of </w:t>
      </w:r>
      <w:r w:rsidRPr="002D72C2">
        <w:rPr>
          <w:color w:val="231F20"/>
          <w:lang w:eastAsia="en-GB"/>
        </w:rPr>
        <w:t>PGE</w:t>
      </w:r>
      <w:r w:rsidRPr="002D72C2">
        <w:rPr>
          <w:color w:val="231F20"/>
          <w:vertAlign w:val="subscript"/>
          <w:lang w:eastAsia="en-GB"/>
        </w:rPr>
        <w:t xml:space="preserve">2 </w:t>
      </w:r>
      <w:r w:rsidRPr="002D72C2">
        <w:t>given was 2, not 3.</w:t>
      </w:r>
    </w:p>
    <w:p w14:paraId="4805A2AC" w14:textId="77777777" w:rsidR="00996131" w:rsidRPr="00263D08" w:rsidRDefault="00996131" w:rsidP="00996131">
      <w:pPr>
        <w:widowControl w:val="0"/>
        <w:autoSpaceDE w:val="0"/>
        <w:autoSpaceDN w:val="0"/>
        <w:adjustRightInd w:val="0"/>
        <w:spacing w:before="100" w:after="100" w:line="480" w:lineRule="auto"/>
        <w:rPr>
          <w:b/>
        </w:rPr>
      </w:pPr>
      <w:r>
        <w:rPr>
          <w:b/>
        </w:rPr>
        <w:t>Variables and statistical analysis</w:t>
      </w:r>
    </w:p>
    <w:p w14:paraId="1B3E8C4F" w14:textId="77777777" w:rsidR="00996131" w:rsidRDefault="00996131" w:rsidP="00996131">
      <w:pPr>
        <w:widowControl w:val="0"/>
        <w:autoSpaceDE w:val="0"/>
        <w:autoSpaceDN w:val="0"/>
        <w:adjustRightInd w:val="0"/>
        <w:spacing w:before="100" w:after="100" w:line="480" w:lineRule="auto"/>
      </w:pPr>
      <w:r>
        <w:t xml:space="preserve">For a simplified overview that can be translated to a clinical environment all variables were categorised rather than presented as continuous data, including age and BMI. Body Mass Index is categorised according to World Health Organisation levels: up to 25, underweight and normal range; 25 to 29, overweight; 30 and over, obese class I-III (WHO, 1995). For the type of delivery, no distinction was made for unaided vaginal delivery and vaginal delivery using an instrument. Regression was applied to determine which variables are associated with the use of </w:t>
      </w:r>
      <w:r>
        <w:rPr>
          <w:color w:val="231F20"/>
          <w:lang w:eastAsia="en-GB"/>
        </w:rPr>
        <w:t>PGE</w:t>
      </w:r>
      <w:r>
        <w:rPr>
          <w:color w:val="231F20"/>
          <w:vertAlign w:val="subscript"/>
          <w:lang w:eastAsia="en-GB"/>
        </w:rPr>
        <w:t>2</w:t>
      </w:r>
      <w:r>
        <w:t xml:space="preserve"> in pregnancy and labour induction, and the type of delivery respectively. Statistical analysis was performed using SPSS version 17 (SPSS Inc., </w:t>
      </w:r>
      <w:smartTag w:uri="urn:schemas-microsoft-com:office:smarttags" w:element="place">
        <w:smartTag w:uri="urn:schemas-microsoft-com:office:smarttags" w:element="City">
          <w:r>
            <w:t>Chicago</w:t>
          </w:r>
        </w:smartTag>
        <w:r>
          <w:t xml:space="preserve">, </w:t>
        </w:r>
        <w:smartTag w:uri="urn:schemas-microsoft-com:office:smarttags" w:element="country-region">
          <w:r>
            <w:t>USA</w:t>
          </w:r>
        </w:smartTag>
      </w:smartTag>
      <w:r>
        <w:t xml:space="preserve">). A P-value of 0.05 or less was considered to be statistically significant. </w:t>
      </w:r>
    </w:p>
    <w:p w14:paraId="499974C9" w14:textId="77777777" w:rsidR="00996131" w:rsidRDefault="00996131" w:rsidP="00996131">
      <w:pPr>
        <w:widowControl w:val="0"/>
        <w:autoSpaceDE w:val="0"/>
        <w:autoSpaceDN w:val="0"/>
        <w:adjustRightInd w:val="0"/>
        <w:spacing w:before="100" w:after="100" w:line="480" w:lineRule="auto"/>
      </w:pPr>
    </w:p>
    <w:p w14:paraId="1F2224CE" w14:textId="77777777" w:rsidR="00996131" w:rsidRPr="0049707D" w:rsidRDefault="00996131" w:rsidP="00996131">
      <w:pPr>
        <w:pStyle w:val="Heading1"/>
      </w:pPr>
      <w:r w:rsidRPr="0049707D">
        <w:t>Results</w:t>
      </w:r>
    </w:p>
    <w:p w14:paraId="7BEAA7E2" w14:textId="77777777" w:rsidR="00996131" w:rsidRDefault="00996131" w:rsidP="00996131">
      <w:pPr>
        <w:widowControl w:val="0"/>
        <w:autoSpaceDE w:val="0"/>
        <w:autoSpaceDN w:val="0"/>
        <w:adjustRightInd w:val="0"/>
        <w:spacing w:before="100" w:after="100" w:line="480" w:lineRule="auto"/>
      </w:pPr>
    </w:p>
    <w:p w14:paraId="74377A04" w14:textId="77777777" w:rsidR="00996131" w:rsidRDefault="00996131" w:rsidP="00996131">
      <w:pPr>
        <w:widowControl w:val="0"/>
        <w:autoSpaceDE w:val="0"/>
        <w:autoSpaceDN w:val="0"/>
        <w:adjustRightInd w:val="0"/>
        <w:spacing w:before="100" w:after="100" w:line="480" w:lineRule="auto"/>
      </w:pPr>
      <w:r>
        <w:t xml:space="preserve">In our cohort, the administration of </w:t>
      </w:r>
      <w:r>
        <w:rPr>
          <w:color w:val="231F20"/>
          <w:lang w:eastAsia="en-GB"/>
        </w:rPr>
        <w:t>PGE</w:t>
      </w:r>
      <w:r>
        <w:rPr>
          <w:color w:val="231F20"/>
          <w:vertAlign w:val="subscript"/>
          <w:lang w:eastAsia="en-GB"/>
        </w:rPr>
        <w:t xml:space="preserve">2 </w:t>
      </w:r>
      <w:r w:rsidRPr="00930E14">
        <w:rPr>
          <w:color w:val="231F20"/>
          <w:lang w:eastAsia="en-GB"/>
        </w:rPr>
        <w:t>for cervica</w:t>
      </w:r>
      <w:r>
        <w:rPr>
          <w:color w:val="231F20"/>
          <w:lang w:eastAsia="en-GB"/>
        </w:rPr>
        <w:t>l ripening and labour induction resulted in a nearly eighty percent successful vaginal delivery (78.4%). Table 1 shows an overview of the baseline characteristics regarding the cohort studied. Analysis of what factors may predict or influence the total number of PGE</w:t>
      </w:r>
      <w:r>
        <w:rPr>
          <w:color w:val="231F20"/>
          <w:vertAlign w:val="subscript"/>
          <w:lang w:eastAsia="en-GB"/>
        </w:rPr>
        <w:t>2</w:t>
      </w:r>
      <w:r>
        <w:t xml:space="preserve"> doses used before vaginal delivery was achieved or caesarean section was decided upon reveals that only factor included in our study is significantly linked to an increased number of </w:t>
      </w:r>
      <w:r>
        <w:rPr>
          <w:color w:val="231F20"/>
          <w:lang w:eastAsia="en-GB"/>
        </w:rPr>
        <w:t>PGE</w:t>
      </w:r>
      <w:r>
        <w:rPr>
          <w:color w:val="231F20"/>
          <w:vertAlign w:val="subscript"/>
          <w:lang w:eastAsia="en-GB"/>
        </w:rPr>
        <w:t>2</w:t>
      </w:r>
      <w:r>
        <w:t xml:space="preserve"> doses: parity. Nulliparous women are significantly more likely to be administered more than one dose (see Table 2). Otherwise, there is very little indication that variables, including patient’s age, gestational age, maternal BMI and centile of the baby, are likely to predict an increased dosage of </w:t>
      </w:r>
      <w:bookmarkStart w:id="2" w:name="OLE_LINK7"/>
      <w:bookmarkStart w:id="3" w:name="OLE_LINK8"/>
      <w:r>
        <w:rPr>
          <w:color w:val="231F20"/>
          <w:lang w:eastAsia="en-GB"/>
        </w:rPr>
        <w:t>PGE</w:t>
      </w:r>
      <w:r>
        <w:rPr>
          <w:color w:val="231F20"/>
          <w:vertAlign w:val="subscript"/>
          <w:lang w:eastAsia="en-GB"/>
        </w:rPr>
        <w:t>2</w:t>
      </w:r>
      <w:r>
        <w:t xml:space="preserve">. </w:t>
      </w:r>
      <w:bookmarkEnd w:id="2"/>
      <w:bookmarkEnd w:id="3"/>
    </w:p>
    <w:p w14:paraId="0F50E178" w14:textId="77777777" w:rsidR="00996131" w:rsidRDefault="00996131" w:rsidP="00996131">
      <w:pPr>
        <w:widowControl w:val="0"/>
        <w:autoSpaceDE w:val="0"/>
        <w:autoSpaceDN w:val="0"/>
        <w:adjustRightInd w:val="0"/>
        <w:spacing w:before="100" w:after="100" w:line="480" w:lineRule="auto"/>
      </w:pPr>
      <w:r>
        <w:t xml:space="preserve">Table 3 summarizes the results of a multiple ordinal regression analysis of factors predicting the eventual outcome of the labour process: vaginal delivery or caesarean section. In addition to the factors analysed in the multiple regression analysis for the numbers of </w:t>
      </w:r>
      <w:r>
        <w:rPr>
          <w:color w:val="231F20"/>
          <w:lang w:eastAsia="en-GB"/>
        </w:rPr>
        <w:t>PGE</w:t>
      </w:r>
      <w:r>
        <w:rPr>
          <w:color w:val="231F20"/>
          <w:vertAlign w:val="subscript"/>
          <w:lang w:eastAsia="en-GB"/>
        </w:rPr>
        <w:t>2</w:t>
      </w:r>
      <w:r>
        <w:t xml:space="preserve"> doses used, this outcome dependent was itself used as a factor for the dependent of this analysis: type of delivery. Younger patients (OR 2.63, 95% CI 1.51 to 4.58) and a single dose of </w:t>
      </w:r>
      <w:r>
        <w:rPr>
          <w:color w:val="231F20"/>
          <w:lang w:eastAsia="en-GB"/>
        </w:rPr>
        <w:t>PGE</w:t>
      </w:r>
      <w:r>
        <w:rPr>
          <w:color w:val="231F20"/>
          <w:vertAlign w:val="subscript"/>
          <w:lang w:eastAsia="en-GB"/>
        </w:rPr>
        <w:t>2</w:t>
      </w:r>
      <w:r>
        <w:t xml:space="preserve"> (OR 2.86, 95% CI 1.21 to 6.79) are statistically significant predictors of induction of vaginal delivery. Conversely, nulliparous women are less likely to achieve a vaginal delivery. The rate of vaginal delivery drops from as high as 93.6% for women with two or more children to 67.3% for nulliparous women (OR 0.12, 95% CI 0.045 to 0.32). Although women with a BMI of less than 25 are approximately 9% more likely to deliver vaginally than those with a BMI above 25, this difference is not statistically significant. Similarly, the baby’s gestational age or weight expressed as a percentile does not lead to significant changes in delivery outcome. </w:t>
      </w:r>
    </w:p>
    <w:p w14:paraId="2CE66F5E" w14:textId="77777777" w:rsidR="00996131" w:rsidRDefault="00996131" w:rsidP="00996131">
      <w:pPr>
        <w:pStyle w:val="Heading4"/>
        <w:rPr>
          <w:rFonts w:ascii="Cambria" w:hAnsi="Cambria"/>
          <w:sz w:val="32"/>
          <w:szCs w:val="32"/>
        </w:rPr>
      </w:pPr>
      <w:r w:rsidRPr="00C93E95">
        <w:rPr>
          <w:rFonts w:ascii="Cambria" w:hAnsi="Cambria"/>
          <w:sz w:val="32"/>
          <w:szCs w:val="32"/>
        </w:rPr>
        <w:t>Discussion</w:t>
      </w:r>
    </w:p>
    <w:p w14:paraId="1F4B3A86" w14:textId="77777777" w:rsidR="00996131" w:rsidRDefault="00996131" w:rsidP="00996131">
      <w:pPr>
        <w:spacing w:line="480" w:lineRule="auto"/>
      </w:pPr>
      <w:r>
        <w:t xml:space="preserve">The outcomes of this study add to the existing evidence on the contribution or inhibitive effects that maternal and prenatal variables can have on the ultimate mode of delivery in labour (Wing et al, 2002; Crane et al, 2004; Pevzner et al, 2009a). However, most of the published analyses to date have looked at labour induction with misoprostol, rather than dinoprostone. Our results align with the available literature on prostaglandins in that parity is the single most important predictor of a successful vaginal delivery in women who require </w:t>
      </w:r>
      <w:r>
        <w:rPr>
          <w:color w:val="231F20"/>
          <w:lang w:eastAsia="en-GB"/>
        </w:rPr>
        <w:t>PGE</w:t>
      </w:r>
      <w:r>
        <w:rPr>
          <w:color w:val="231F20"/>
          <w:vertAlign w:val="subscript"/>
          <w:lang w:eastAsia="en-GB"/>
        </w:rPr>
        <w:t>2</w:t>
      </w:r>
      <w:r>
        <w:t xml:space="preserve"> medication (Pevzner et al, 2009a). Parity is also the biggest predictor for requiring more than one dose of </w:t>
      </w:r>
      <w:r>
        <w:rPr>
          <w:color w:val="231F20"/>
          <w:lang w:eastAsia="en-GB"/>
        </w:rPr>
        <w:t>PGE</w:t>
      </w:r>
      <w:r>
        <w:rPr>
          <w:color w:val="231F20"/>
          <w:vertAlign w:val="subscript"/>
          <w:lang w:eastAsia="en-GB"/>
        </w:rPr>
        <w:t>2</w:t>
      </w:r>
      <w:r>
        <w:t xml:space="preserve">. Nulliparous women are more likely than those who already have children to require multiple doses of </w:t>
      </w:r>
      <w:r>
        <w:rPr>
          <w:color w:val="231F20"/>
          <w:lang w:eastAsia="en-GB"/>
        </w:rPr>
        <w:t>PGE</w:t>
      </w:r>
      <w:r>
        <w:rPr>
          <w:color w:val="231F20"/>
          <w:vertAlign w:val="subscript"/>
          <w:lang w:eastAsia="en-GB"/>
        </w:rPr>
        <w:t>2</w:t>
      </w:r>
      <w:r>
        <w:t>. The low pseudo R</w:t>
      </w:r>
      <w:r w:rsidRPr="00C93E95">
        <w:rPr>
          <w:vertAlign w:val="superscript"/>
        </w:rPr>
        <w:t>2</w:t>
      </w:r>
      <w:r>
        <w:t xml:space="preserve"> value (0.078) for the multiple regression analysis of the number of </w:t>
      </w:r>
      <w:r>
        <w:rPr>
          <w:color w:val="231F20"/>
          <w:lang w:eastAsia="en-GB"/>
        </w:rPr>
        <w:t>PGE</w:t>
      </w:r>
      <w:r>
        <w:rPr>
          <w:color w:val="231F20"/>
          <w:vertAlign w:val="subscript"/>
          <w:lang w:eastAsia="en-GB"/>
        </w:rPr>
        <w:t>2</w:t>
      </w:r>
      <w:r>
        <w:t xml:space="preserve"> doses does demonstrate and confirm that cervical ripening and labour induction is a complex biological process which is likely to involve many triggers, inhibitors and activators (Calder, 1994).  </w:t>
      </w:r>
    </w:p>
    <w:p w14:paraId="2410E433" w14:textId="77777777" w:rsidR="00996131" w:rsidRDefault="00996131" w:rsidP="00996131">
      <w:pPr>
        <w:spacing w:line="480" w:lineRule="auto"/>
      </w:pPr>
      <w:r>
        <w:t xml:space="preserve">The results of the multiple ordinal regression analysis into those factors that influence the type of delivery show that administering multiple doses of </w:t>
      </w:r>
      <w:r>
        <w:rPr>
          <w:color w:val="231F20"/>
          <w:lang w:eastAsia="en-GB"/>
        </w:rPr>
        <w:t>PGE</w:t>
      </w:r>
      <w:r>
        <w:rPr>
          <w:color w:val="231F20"/>
          <w:vertAlign w:val="subscript"/>
          <w:lang w:eastAsia="en-GB"/>
        </w:rPr>
        <w:t>2</w:t>
      </w:r>
      <w:r>
        <w:t xml:space="preserve"> does not mean that the rate of vaginal deliveries can be sustained, as shown by a reduction of 30% in vaginal deliveries between those receiving one dose and three doses of </w:t>
      </w:r>
      <w:r>
        <w:rPr>
          <w:color w:val="231F20"/>
          <w:lang w:eastAsia="en-GB"/>
        </w:rPr>
        <w:t>PGE</w:t>
      </w:r>
      <w:r>
        <w:rPr>
          <w:color w:val="231F20"/>
          <w:vertAlign w:val="subscript"/>
          <w:lang w:eastAsia="en-GB"/>
        </w:rPr>
        <w:t>2</w:t>
      </w:r>
      <w:r>
        <w:t xml:space="preserve"> (84.5% to 54.1%). </w:t>
      </w:r>
    </w:p>
    <w:p w14:paraId="370F30E0" w14:textId="77777777" w:rsidR="00996131" w:rsidRDefault="00996131" w:rsidP="00996131">
      <w:pPr>
        <w:spacing w:line="480" w:lineRule="auto"/>
      </w:pPr>
    </w:p>
    <w:p w14:paraId="5CD2CBA1" w14:textId="77777777" w:rsidR="00996131" w:rsidRDefault="00996131" w:rsidP="00996131">
      <w:pPr>
        <w:spacing w:line="480" w:lineRule="auto"/>
      </w:pPr>
      <w:r>
        <w:t xml:space="preserve">Recently, Pevzner and colleagues (2009b) showed a significant correlation between obesity and caesarean delivery rates in a cohort of patients in the United States. Although the WHO classification for BMI was applied, the categories were &lt; 30, 30-39, and &gt;40, which differs from our categories &lt; 25, 25 – 29 and &gt;30. This perhaps reflects the difference in average weight of people in general in the </w:t>
      </w:r>
      <w:smartTag w:uri="urn:schemas-microsoft-com:office:smarttags" w:element="country-region">
        <w:smartTag w:uri="urn:schemas-microsoft-com:office:smarttags" w:element="place">
          <w:r>
            <w:t>US</w:t>
          </w:r>
        </w:smartTag>
      </w:smartTag>
      <w:r>
        <w:t xml:space="preserve"> and UK &amp; Europe, respectively. This makes a direct comparison rather hard; our data shows that there is a considerable jump in caesarean rate between those with a BMI in the underweight to normal range (&lt;25; 17.2% caesarean sections) and those who are overweight (25- 29; 25.5%). Increased caesarean rates will ultimately mean higher risk of complications. Therefore, although no statistically significant correlation between BMI groups and mode of delivery were obtained here, obese patients (BMI over 30) may certainly benefit from more intensive obstetric management as suggested by Jarvie &amp; Ramsay (2010).</w:t>
      </w:r>
    </w:p>
    <w:p w14:paraId="1DDAB98E" w14:textId="77777777" w:rsidR="00996131" w:rsidRDefault="00996131" w:rsidP="00996131">
      <w:pPr>
        <w:spacing w:line="480" w:lineRule="auto"/>
      </w:pPr>
      <w:r>
        <w:t>The increase in caesarean sections carried out in the UK may certainly have been caused partly by increased average age at which women have children (Thomas and Parajothy, 2001)</w:t>
      </w:r>
      <w:r w:rsidRPr="00742ED9">
        <w:t>. Our</w:t>
      </w:r>
      <w:r>
        <w:t xml:space="preserve"> data supports this notion, with those over 30 years of age being at significant higher risk of requiring a caesarean section compared to women under the age of 30. Although not significant, there appears to be a trend in that the longer the pregnancy has lasted, the more likely it is that a vaginal delivery is achieved. Similarly, a higher percentile for the projected weight of the baby at birth is associated with a moderately reduced vaginal birth rate. </w:t>
      </w:r>
    </w:p>
    <w:p w14:paraId="6B0D3CCC" w14:textId="77777777" w:rsidR="00996131" w:rsidRDefault="00996131" w:rsidP="00996131">
      <w:pPr>
        <w:spacing w:line="480" w:lineRule="auto"/>
      </w:pPr>
      <w:r>
        <w:t>The vast majority of the women included in this study Caucasian, therefore race was not included as a predictive factor. The reason for induction (indication) was not included in our analyses since it involves nominal data, although prolonged pregnancy was included by virtue of gestational age. The factors included in the multiple ordinal regression analysis were nevertheless reasonably capable of predicting the type of delivery outcome (</w:t>
      </w:r>
      <w:r>
        <w:rPr>
          <w:lang w:eastAsia="en-GB"/>
        </w:rPr>
        <w:t>Pseudo R</w:t>
      </w:r>
      <w:r w:rsidRPr="00F56585">
        <w:rPr>
          <w:vertAlign w:val="superscript"/>
          <w:lang w:eastAsia="en-GB"/>
        </w:rPr>
        <w:t>2</w:t>
      </w:r>
      <w:r>
        <w:rPr>
          <w:lang w:eastAsia="en-GB"/>
        </w:rPr>
        <w:t xml:space="preserve"> = 0.217), considering labour is such a complex and multifaceted process.</w:t>
      </w:r>
      <w:r>
        <w:t xml:space="preserve"> </w:t>
      </w:r>
    </w:p>
    <w:p w14:paraId="75E2517F" w14:textId="77777777" w:rsidR="00996131" w:rsidRDefault="00996131" w:rsidP="00996131">
      <w:pPr>
        <w:spacing w:line="480" w:lineRule="auto"/>
      </w:pPr>
      <w:r>
        <w:t>This study adds to the body of evidence related to maternal and prenatal factors that influence the success of vaginal delivery in those women who require prostaglandins for cervical ripening and labour induction. Generally speaking, there appears to be little to no difference in terms of what type of prostaglandin is used, mistropol or dinoprostone, and the associations that maternal and prenatal factors have with pregnancy outcomes as measured by type of delivery.</w:t>
      </w:r>
    </w:p>
    <w:p w14:paraId="065D6ADA" w14:textId="77777777" w:rsidR="00996131" w:rsidRDefault="00996131" w:rsidP="00996131">
      <w:pPr>
        <w:spacing w:line="480" w:lineRule="auto"/>
      </w:pPr>
    </w:p>
    <w:p w14:paraId="48D8EE75" w14:textId="77777777" w:rsidR="00996131" w:rsidRPr="00C93E95" w:rsidRDefault="00996131" w:rsidP="00996131">
      <w:pPr>
        <w:spacing w:line="480" w:lineRule="auto"/>
      </w:pPr>
      <w:r>
        <w:br w:type="page"/>
      </w:r>
    </w:p>
    <w:p w14:paraId="4540E05C" w14:textId="77777777" w:rsidR="00996131" w:rsidRDefault="00996131" w:rsidP="00996131">
      <w:pPr>
        <w:pStyle w:val="Heading1"/>
      </w:pPr>
      <w:r>
        <w:t xml:space="preserve">References </w:t>
      </w:r>
    </w:p>
    <w:p w14:paraId="64EC0BCD" w14:textId="77777777" w:rsidR="00996131" w:rsidRDefault="00996131" w:rsidP="00996131">
      <w:pPr>
        <w:widowControl w:val="0"/>
        <w:autoSpaceDE w:val="0"/>
        <w:autoSpaceDN w:val="0"/>
        <w:adjustRightInd w:val="0"/>
        <w:spacing w:before="100" w:after="100" w:line="480" w:lineRule="auto"/>
      </w:pPr>
      <w:r>
        <w:t>Calder AA. 1994 Prostaglandins and biological control of cervical function. Aust N Z J Obstet Gynaec. 34: 347-51.</w:t>
      </w:r>
    </w:p>
    <w:p w14:paraId="4E8DA445" w14:textId="77777777" w:rsidR="00996131" w:rsidRDefault="00996131" w:rsidP="00996131">
      <w:pPr>
        <w:widowControl w:val="0"/>
        <w:autoSpaceDE w:val="0"/>
        <w:autoSpaceDN w:val="0"/>
        <w:adjustRightInd w:val="0"/>
        <w:spacing w:before="100" w:after="100" w:line="480" w:lineRule="auto"/>
      </w:pPr>
      <w:r w:rsidRPr="003B21F6">
        <w:t xml:space="preserve">Coonrod DV, Bay RC, Kishi GY. </w:t>
      </w:r>
      <w:r>
        <w:t xml:space="preserve">2000. </w:t>
      </w:r>
      <w:r w:rsidRPr="003B21F6">
        <w:rPr>
          <w:bCs/>
        </w:rPr>
        <w:t xml:space="preserve">The epidemiology of labor induction: Arizona, 1997. </w:t>
      </w:r>
      <w:r w:rsidRPr="003B21F6">
        <w:t>Am J Obstet Gynecol. 182(6):1355-62</w:t>
      </w:r>
      <w:r>
        <w:t>.</w:t>
      </w:r>
    </w:p>
    <w:p w14:paraId="2AE3BB04" w14:textId="77777777" w:rsidR="00996131" w:rsidRDefault="00996131" w:rsidP="00996131">
      <w:pPr>
        <w:widowControl w:val="0"/>
        <w:autoSpaceDE w:val="0"/>
        <w:autoSpaceDN w:val="0"/>
        <w:adjustRightInd w:val="0"/>
        <w:spacing w:before="100" w:after="100" w:line="480" w:lineRule="auto"/>
      </w:pPr>
      <w:r>
        <w:t>Crane JM, Delaney T, Butt KD, Bennett KA, Hutchens D, Young DC. 2004 Predictors of successful labor induction with oral or vaginal misoprostol. J Matern Fetal Neonat Med. 15: 319-</w:t>
      </w:r>
      <w:r w:rsidRPr="00DD7561">
        <w:t>23.</w:t>
      </w:r>
    </w:p>
    <w:p w14:paraId="7D8A5B05" w14:textId="77777777" w:rsidR="00996131" w:rsidRPr="000D10FB" w:rsidRDefault="00996131" w:rsidP="00996131">
      <w:pPr>
        <w:pStyle w:val="authlist"/>
        <w:shd w:val="clear" w:color="auto" w:fill="FFFFFF"/>
        <w:spacing w:line="480" w:lineRule="auto"/>
      </w:pPr>
      <w:r w:rsidRPr="000D10FB">
        <w:t xml:space="preserve">Jarvie E, Ramsay JE. 2010 </w:t>
      </w:r>
      <w:r w:rsidRPr="000D10FB">
        <w:rPr>
          <w:bCs/>
        </w:rPr>
        <w:t xml:space="preserve">Obstetric management of obesity in pregnancy. </w:t>
      </w:r>
      <w:r w:rsidRPr="000D10FB">
        <w:t>Semin Fetal Neonatal Med. 15(2):83-8. .</w:t>
      </w:r>
    </w:p>
    <w:p w14:paraId="3FD2D576" w14:textId="77777777" w:rsidR="00996131" w:rsidRPr="00DD7561" w:rsidRDefault="00996131" w:rsidP="00996131">
      <w:pPr>
        <w:pStyle w:val="authlist"/>
        <w:shd w:val="clear" w:color="auto" w:fill="FFFFFF"/>
        <w:spacing w:line="480" w:lineRule="auto"/>
      </w:pPr>
      <w:r w:rsidRPr="00DD7561">
        <w:t xml:space="preserve">Kundodyiwa TW, Alfirevic Z, Weeks AD. 2009 </w:t>
      </w:r>
      <w:r w:rsidRPr="00DD7561">
        <w:rPr>
          <w:bCs/>
        </w:rPr>
        <w:t xml:space="preserve">Low-dose oral misoprostol for induction of labor: a systematic review. </w:t>
      </w:r>
      <w:r w:rsidRPr="00DD7561">
        <w:t xml:space="preserve">Obstet Gynecol. </w:t>
      </w:r>
      <w:r>
        <w:t>1</w:t>
      </w:r>
      <w:r w:rsidRPr="00DD7561">
        <w:t>13(2 Pt 1):374-83.</w:t>
      </w:r>
    </w:p>
    <w:p w14:paraId="1653F972" w14:textId="77777777" w:rsidR="00996131" w:rsidRDefault="00996131" w:rsidP="00996131">
      <w:pPr>
        <w:widowControl w:val="0"/>
        <w:autoSpaceDE w:val="0"/>
        <w:autoSpaceDN w:val="0"/>
        <w:adjustRightInd w:val="0"/>
        <w:spacing w:before="100" w:after="100" w:line="480" w:lineRule="auto"/>
      </w:pPr>
      <w:r>
        <w:t xml:space="preserve"> Laws PJ, Sullivan EA Australia's Mothers and Babies 2002. AIHW Cat. No. PER 28. </w:t>
      </w:r>
      <w:smartTag w:uri="urn:schemas-microsoft-com:office:smarttags" w:element="place">
        <w:smartTag w:uri="urn:schemas-microsoft-com:office:smarttags" w:element="City">
          <w:r>
            <w:t>Sydney</w:t>
          </w:r>
        </w:smartTag>
      </w:smartTag>
      <w:r>
        <w:t xml:space="preserve">: AIHW National Perinatal Statistics Unit (Perinatal Statistics Series No. 15) 2004. </w:t>
      </w:r>
    </w:p>
    <w:p w14:paraId="2E953B45" w14:textId="77777777" w:rsidR="00996131" w:rsidRDefault="00996131" w:rsidP="00996131">
      <w:pPr>
        <w:widowControl w:val="0"/>
        <w:autoSpaceDE w:val="0"/>
        <w:autoSpaceDN w:val="0"/>
        <w:adjustRightInd w:val="0"/>
        <w:spacing w:before="100" w:after="100" w:line="480" w:lineRule="auto"/>
      </w:pPr>
      <w:r w:rsidRPr="003B21F6">
        <w:t>Lydon-Rochelle MT, Cárdenas V, Nelson JC, Holt VL, Gardella C, Easterling TR</w:t>
      </w:r>
      <w:r>
        <w:t>. 2007</w:t>
      </w:r>
      <w:r w:rsidRPr="003B21F6">
        <w:rPr>
          <w:bCs/>
        </w:rPr>
        <w:t xml:space="preserve"> Induction of labor in the absence of standard medical indications: incidence and correlates. </w:t>
      </w:r>
      <w:hyperlink r:id="rId5" w:tooltip="Medical care." w:history="1">
        <w:r w:rsidRPr="003B21F6">
          <w:rPr>
            <w:rStyle w:val="Hyperlink"/>
            <w:color w:val="auto"/>
            <w:u w:val="none"/>
          </w:rPr>
          <w:t>Med Care.</w:t>
        </w:r>
      </w:hyperlink>
      <w:r w:rsidRPr="003B21F6">
        <w:t xml:space="preserve"> 45(6):505-12.</w:t>
      </w:r>
    </w:p>
    <w:p w14:paraId="2E0F8A07" w14:textId="77777777" w:rsidR="00996131" w:rsidRDefault="00996131" w:rsidP="00996131">
      <w:pPr>
        <w:widowControl w:val="0"/>
        <w:autoSpaceDE w:val="0"/>
        <w:autoSpaceDN w:val="0"/>
        <w:adjustRightInd w:val="0"/>
        <w:spacing w:before="100" w:after="100" w:line="480" w:lineRule="auto"/>
      </w:pPr>
      <w:r w:rsidRPr="003B21F6">
        <w:t>MacDorman MF</w:t>
      </w:r>
      <w:r>
        <w:t>,</w:t>
      </w:r>
      <w:r w:rsidRPr="003B21F6">
        <w:t xml:space="preserve">  Menacker F, Declercq E.</w:t>
      </w:r>
      <w:r>
        <w:t xml:space="preserve"> 2008.</w:t>
      </w:r>
      <w:r w:rsidRPr="003B21F6">
        <w:t xml:space="preserve"> </w:t>
      </w:r>
      <w:r w:rsidRPr="003B21F6">
        <w:rPr>
          <w:bCs/>
        </w:rPr>
        <w:t xml:space="preserve">Cesarean birth in the United States: epidemiology, trends, and outcomes. </w:t>
      </w:r>
      <w:r w:rsidRPr="003B21F6">
        <w:t>Clin Perinatol.</w:t>
      </w:r>
      <w:r>
        <w:t xml:space="preserve"> 35(2):293-307</w:t>
      </w:r>
      <w:r w:rsidRPr="003B21F6">
        <w:t>.</w:t>
      </w:r>
    </w:p>
    <w:p w14:paraId="252EFEB8" w14:textId="77777777" w:rsidR="00996131" w:rsidRDefault="00996131" w:rsidP="00996131">
      <w:pPr>
        <w:widowControl w:val="0"/>
        <w:autoSpaceDE w:val="0"/>
        <w:autoSpaceDN w:val="0"/>
        <w:adjustRightInd w:val="0"/>
        <w:spacing w:before="100" w:after="100" w:line="480" w:lineRule="auto"/>
      </w:pPr>
      <w:r>
        <w:t>Pevzner L, Rayburn WF, Rumney P, Wing DA. 2009a. Factors predicting successful labor induction with dinoprostone and misoprostol vaginal inserts. Obstet Gynecol. 114: 261-7.</w:t>
      </w:r>
    </w:p>
    <w:p w14:paraId="16EE99F6" w14:textId="77777777" w:rsidR="00996131" w:rsidRDefault="00996131" w:rsidP="00996131">
      <w:pPr>
        <w:widowControl w:val="0"/>
        <w:autoSpaceDE w:val="0"/>
        <w:autoSpaceDN w:val="0"/>
        <w:adjustRightInd w:val="0"/>
        <w:spacing w:before="100" w:after="100" w:line="480" w:lineRule="auto"/>
      </w:pPr>
      <w:r>
        <w:t>Pevzner L, Powers BL, Rayburn WF, Rumney P, Wing DA. 2009b. Effects of maternal obesity on duration and outcomes of prostaglandin cervical ripening and labor induction. Obstet Gynecol. 114: 1315-21.</w:t>
      </w:r>
    </w:p>
    <w:p w14:paraId="5A951FEC" w14:textId="77777777" w:rsidR="00996131" w:rsidRDefault="00996131" w:rsidP="00996131">
      <w:pPr>
        <w:widowControl w:val="0"/>
        <w:autoSpaceDE w:val="0"/>
        <w:autoSpaceDN w:val="0"/>
        <w:adjustRightInd w:val="0"/>
        <w:spacing w:before="100" w:after="100" w:line="480" w:lineRule="auto"/>
      </w:pPr>
      <w:r>
        <w:t xml:space="preserve">RCOG - National Collaborating Centre for Women's and Children's Health. Induction of Labour.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 xml:space="preserve"> : RCOG Press, 2008 </w:t>
      </w:r>
    </w:p>
    <w:p w14:paraId="25F68B5C" w14:textId="77777777" w:rsidR="00996131" w:rsidRDefault="00996131" w:rsidP="00996131">
      <w:pPr>
        <w:widowControl w:val="0"/>
        <w:autoSpaceDE w:val="0"/>
        <w:autoSpaceDN w:val="0"/>
        <w:adjustRightInd w:val="0"/>
        <w:spacing w:before="100" w:after="100" w:line="480" w:lineRule="auto"/>
      </w:pPr>
      <w:r w:rsidRPr="003B21F6">
        <w:t xml:space="preserve">Sanchez-Ramos L. </w:t>
      </w:r>
      <w:r w:rsidRPr="003B21F6">
        <w:rPr>
          <w:bCs/>
        </w:rPr>
        <w:t>Induction of labor.</w:t>
      </w:r>
      <w:r w:rsidRPr="003B21F6">
        <w:t xml:space="preserve">  </w:t>
      </w:r>
      <w:r>
        <w:t xml:space="preserve">2005 </w:t>
      </w:r>
      <w:r w:rsidRPr="003B21F6">
        <w:t xml:space="preserve"> Obstet Gynecol Clin North Am.</w:t>
      </w:r>
      <w:r>
        <w:t xml:space="preserve"> 32(2):181-200</w:t>
      </w:r>
    </w:p>
    <w:p w14:paraId="7E4D0E1A" w14:textId="77777777" w:rsidR="00996131" w:rsidRDefault="00996131" w:rsidP="00996131">
      <w:pPr>
        <w:spacing w:line="480" w:lineRule="auto"/>
      </w:pPr>
      <w:r w:rsidRPr="00A345D5">
        <w:t xml:space="preserve">Thomas J, Parajothy S, Royal College of obstetricians and Gynaecologists Clinical Effectiveness Support Unit. The National Sentinel C S Audit Report. </w:t>
      </w:r>
      <w:smartTag w:uri="urn:schemas-microsoft-com:office:smarttags" w:element="City">
        <w:smartTag w:uri="urn:schemas-microsoft-com:office:smarttags" w:element="place">
          <w:r w:rsidRPr="00A345D5">
            <w:t>London</w:t>
          </w:r>
        </w:smartTag>
      </w:smartTag>
      <w:r w:rsidRPr="00A345D5">
        <w:t>: RCOG Press; 2001.</w:t>
      </w:r>
    </w:p>
    <w:p w14:paraId="6D22F8CC" w14:textId="77777777" w:rsidR="00996131" w:rsidRDefault="00996131" w:rsidP="00996131">
      <w:pPr>
        <w:widowControl w:val="0"/>
        <w:autoSpaceDE w:val="0"/>
        <w:autoSpaceDN w:val="0"/>
        <w:adjustRightInd w:val="0"/>
        <w:spacing w:before="100" w:after="100" w:line="480" w:lineRule="auto"/>
      </w:pPr>
      <w:r w:rsidRPr="003B21F6">
        <w:t>Wax JR</w:t>
      </w:r>
      <w:r>
        <w:t>. 2006.</w:t>
      </w:r>
      <w:r w:rsidRPr="003B21F6">
        <w:t xml:space="preserve">  </w:t>
      </w:r>
      <w:r w:rsidRPr="003B21F6">
        <w:rPr>
          <w:bCs/>
        </w:rPr>
        <w:t xml:space="preserve">Maternal request cesarean versus planned spontaneous vaginal delivery: maternal morbidity and short term outcomes. </w:t>
      </w:r>
      <w:r w:rsidRPr="003B21F6">
        <w:t>Semin Perinatol. 30(5):247-52</w:t>
      </w:r>
    </w:p>
    <w:p w14:paraId="71AFA5F7" w14:textId="77777777" w:rsidR="00996131" w:rsidRDefault="00996131" w:rsidP="00996131">
      <w:pPr>
        <w:widowControl w:val="0"/>
        <w:autoSpaceDE w:val="0"/>
        <w:autoSpaceDN w:val="0"/>
        <w:adjustRightInd w:val="0"/>
        <w:spacing w:before="100" w:after="100" w:line="480" w:lineRule="auto"/>
      </w:pPr>
      <w:r w:rsidRPr="000A7CAD">
        <w:rPr>
          <w:rStyle w:val="smallcopy"/>
        </w:rPr>
        <w:t xml:space="preserve">WHO. Physical status: the use and interpretation of anthropometry. Report of a WHO Expert </w:t>
      </w:r>
      <w:r w:rsidRPr="00A345D5">
        <w:rPr>
          <w:rStyle w:val="smallcopy"/>
        </w:rPr>
        <w:t xml:space="preserve">Committee. WHO Technical Report Series 854. </w:t>
      </w:r>
      <w:smartTag w:uri="urn:schemas-microsoft-com:office:smarttags" w:element="City">
        <w:smartTag w:uri="urn:schemas-microsoft-com:office:smarttags" w:element="place">
          <w:r w:rsidRPr="00A345D5">
            <w:rPr>
              <w:rStyle w:val="smallcopy"/>
            </w:rPr>
            <w:t>Geneva</w:t>
          </w:r>
        </w:smartTag>
      </w:smartTag>
      <w:r w:rsidRPr="00A345D5">
        <w:rPr>
          <w:rStyle w:val="smallcopy"/>
        </w:rPr>
        <w:t>: World Health Organization, 1995.</w:t>
      </w:r>
    </w:p>
    <w:p w14:paraId="7A7ED84F" w14:textId="77777777" w:rsidR="00996131" w:rsidRDefault="00996131" w:rsidP="00996131">
      <w:pPr>
        <w:widowControl w:val="0"/>
        <w:autoSpaceDE w:val="0"/>
        <w:autoSpaceDN w:val="0"/>
        <w:adjustRightInd w:val="0"/>
        <w:spacing w:before="100" w:after="100" w:line="480" w:lineRule="auto"/>
      </w:pPr>
      <w:r>
        <w:t>Wing DA, Tran S, Paul RH. 2002. Factors affecting the likehood of successful induction after intravaginal misprostol application for cervical ripening and labor induction. Am J. Obstet Gynecol 186: 1237-40.</w:t>
      </w:r>
    </w:p>
    <w:p w14:paraId="6F3D37F9" w14:textId="77777777" w:rsidR="00996131" w:rsidRDefault="00996131" w:rsidP="00996131">
      <w:pPr>
        <w:spacing w:line="480" w:lineRule="auto"/>
      </w:pPr>
      <w:r w:rsidRPr="003A16BA">
        <w:t>Yeast D, Jones A, Poskin M.</w:t>
      </w:r>
      <w:r>
        <w:t xml:space="preserve"> 1999</w:t>
      </w:r>
      <w:r w:rsidRPr="003A16BA">
        <w:t xml:space="preserve"> </w:t>
      </w:r>
      <w:r w:rsidRPr="003A16BA">
        <w:rPr>
          <w:bCs/>
        </w:rPr>
        <w:t xml:space="preserve">Induction of labor and the relationship to cesarean delivery: A review of 7001 consecutive inductions </w:t>
      </w:r>
      <w:r w:rsidRPr="003A16BA">
        <w:t>Am J Obstet Gynecol. 180(3 Pt 1):628-33</w:t>
      </w:r>
    </w:p>
    <w:p w14:paraId="1A992D3E" w14:textId="77777777" w:rsidR="00996131" w:rsidRDefault="00996131" w:rsidP="00996131">
      <w:pPr>
        <w:widowControl w:val="0"/>
        <w:autoSpaceDE w:val="0"/>
        <w:autoSpaceDN w:val="0"/>
        <w:adjustRightInd w:val="0"/>
        <w:spacing w:line="480" w:lineRule="auto"/>
        <w:rPr>
          <w:rFonts w:ascii="Arial" w:hAnsi="Arial" w:cs="Arial"/>
          <w:sz w:val="20"/>
          <w:szCs w:val="20"/>
          <w:lang w:val="en-US"/>
        </w:rPr>
      </w:pPr>
    </w:p>
    <w:p w14:paraId="016958A7" w14:textId="77777777" w:rsidR="00996131" w:rsidRDefault="00996131" w:rsidP="00996131">
      <w:pPr>
        <w:widowControl w:val="0"/>
        <w:autoSpaceDE w:val="0"/>
        <w:autoSpaceDN w:val="0"/>
        <w:adjustRightInd w:val="0"/>
        <w:spacing w:line="480" w:lineRule="auto"/>
        <w:rPr>
          <w:rFonts w:ascii="Arial" w:hAnsi="Arial" w:cs="Arial"/>
          <w:sz w:val="20"/>
          <w:szCs w:val="20"/>
          <w:lang w:val="en-US"/>
        </w:rPr>
      </w:pPr>
    </w:p>
    <w:p w14:paraId="417AA9D4" w14:textId="77777777" w:rsidR="00996131" w:rsidRDefault="00996131" w:rsidP="00996131">
      <w:pPr>
        <w:widowControl w:val="0"/>
        <w:autoSpaceDE w:val="0"/>
        <w:autoSpaceDN w:val="0"/>
        <w:adjustRightInd w:val="0"/>
        <w:spacing w:line="480" w:lineRule="auto"/>
        <w:rPr>
          <w:rFonts w:ascii="Arial" w:hAnsi="Arial" w:cs="Arial"/>
          <w:sz w:val="20"/>
          <w:szCs w:val="20"/>
          <w:lang w:val="en-US"/>
        </w:rPr>
      </w:pPr>
    </w:p>
    <w:p w14:paraId="00EAE713" w14:textId="60C3E050" w:rsidR="00996131" w:rsidRDefault="00996131" w:rsidP="00726291">
      <w:pPr>
        <w:spacing w:line="360" w:lineRule="auto"/>
        <w:ind w:left="720" w:hanging="720"/>
      </w:pPr>
    </w:p>
    <w:p w14:paraId="55813D7F" w14:textId="5A210235" w:rsidR="00996131" w:rsidRDefault="00996131" w:rsidP="00726291">
      <w:pPr>
        <w:spacing w:line="360" w:lineRule="auto"/>
        <w:ind w:left="720" w:hanging="720"/>
      </w:pPr>
    </w:p>
    <w:p w14:paraId="448770A5" w14:textId="77777777" w:rsidR="00996131" w:rsidRDefault="00996131" w:rsidP="00996131">
      <w:pPr>
        <w:spacing w:line="360" w:lineRule="auto"/>
      </w:pPr>
      <w:r w:rsidRPr="00C942CC">
        <w:rPr>
          <w:b/>
        </w:rPr>
        <w:t xml:space="preserve">Table </w:t>
      </w:r>
      <w:r>
        <w:rPr>
          <w:b/>
        </w:rPr>
        <w:t>I</w:t>
      </w:r>
      <w:r>
        <w:t xml:space="preserve">. Demographics of pregnant women &amp; prenatal variables and summary of events during labour </w:t>
      </w:r>
    </w:p>
    <w:p w14:paraId="1AF93C97" w14:textId="77777777" w:rsidR="00996131" w:rsidRDefault="00996131" w:rsidP="00996131">
      <w:pPr>
        <w:spacing w:line="360" w:lineRule="auto"/>
        <w:ind w:left="720" w:hanging="720"/>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552"/>
        <w:gridCol w:w="1559"/>
        <w:gridCol w:w="1984"/>
      </w:tblGrid>
      <w:tr w:rsidR="00996131" w:rsidRPr="008742B1" w14:paraId="177D7E25" w14:textId="77777777" w:rsidTr="006A5140">
        <w:tc>
          <w:tcPr>
            <w:tcW w:w="2518" w:type="dxa"/>
          </w:tcPr>
          <w:p w14:paraId="66962DBE" w14:textId="77777777" w:rsidR="00996131" w:rsidRPr="008742B1" w:rsidRDefault="00996131" w:rsidP="006A5140">
            <w:pPr>
              <w:autoSpaceDE w:val="0"/>
              <w:autoSpaceDN w:val="0"/>
              <w:adjustRightInd w:val="0"/>
              <w:rPr>
                <w:b/>
                <w:lang w:eastAsia="en-GB"/>
              </w:rPr>
            </w:pPr>
            <w:r w:rsidRPr="008742B1">
              <w:rPr>
                <w:b/>
                <w:lang w:eastAsia="en-GB"/>
              </w:rPr>
              <w:t>Variable</w:t>
            </w:r>
          </w:p>
        </w:tc>
        <w:tc>
          <w:tcPr>
            <w:tcW w:w="2552" w:type="dxa"/>
          </w:tcPr>
          <w:p w14:paraId="2A65B767" w14:textId="77777777" w:rsidR="00996131" w:rsidRPr="008742B1" w:rsidRDefault="00996131" w:rsidP="006A5140">
            <w:pPr>
              <w:autoSpaceDE w:val="0"/>
              <w:autoSpaceDN w:val="0"/>
              <w:adjustRightInd w:val="0"/>
              <w:rPr>
                <w:b/>
                <w:lang w:eastAsia="en-GB"/>
              </w:rPr>
            </w:pPr>
            <w:r w:rsidRPr="008742B1">
              <w:rPr>
                <w:b/>
                <w:lang w:eastAsia="en-GB"/>
              </w:rPr>
              <w:t>Categories</w:t>
            </w:r>
          </w:p>
        </w:tc>
        <w:tc>
          <w:tcPr>
            <w:tcW w:w="1559" w:type="dxa"/>
            <w:tcBorders>
              <w:bottom w:val="single" w:sz="4" w:space="0" w:color="000000"/>
            </w:tcBorders>
          </w:tcPr>
          <w:p w14:paraId="1B39BB0B" w14:textId="77777777" w:rsidR="00996131" w:rsidRPr="008742B1" w:rsidRDefault="00996131" w:rsidP="006A5140">
            <w:pPr>
              <w:autoSpaceDE w:val="0"/>
              <w:autoSpaceDN w:val="0"/>
              <w:adjustRightInd w:val="0"/>
              <w:rPr>
                <w:b/>
                <w:lang w:eastAsia="en-GB"/>
              </w:rPr>
            </w:pPr>
            <w:r w:rsidRPr="008742B1">
              <w:rPr>
                <w:b/>
                <w:lang w:eastAsia="en-GB"/>
              </w:rPr>
              <w:t xml:space="preserve">N </w:t>
            </w:r>
          </w:p>
        </w:tc>
        <w:tc>
          <w:tcPr>
            <w:tcW w:w="1984" w:type="dxa"/>
          </w:tcPr>
          <w:p w14:paraId="10C9598F" w14:textId="77777777" w:rsidR="00996131" w:rsidRPr="008742B1" w:rsidRDefault="00996131" w:rsidP="006A5140">
            <w:pPr>
              <w:autoSpaceDE w:val="0"/>
              <w:autoSpaceDN w:val="0"/>
              <w:adjustRightInd w:val="0"/>
              <w:rPr>
                <w:b/>
                <w:lang w:eastAsia="en-GB"/>
              </w:rPr>
            </w:pPr>
            <w:r w:rsidRPr="008742B1">
              <w:rPr>
                <w:b/>
                <w:lang w:eastAsia="en-GB"/>
              </w:rPr>
              <w:t xml:space="preserve">Percentage of total </w:t>
            </w:r>
          </w:p>
        </w:tc>
      </w:tr>
      <w:tr w:rsidR="00996131" w:rsidRPr="008742B1" w14:paraId="0BB58F48" w14:textId="77777777" w:rsidTr="006A5140">
        <w:tc>
          <w:tcPr>
            <w:tcW w:w="2518" w:type="dxa"/>
          </w:tcPr>
          <w:p w14:paraId="445D17F3"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total nr of pregnancies</w:t>
            </w:r>
          </w:p>
        </w:tc>
        <w:tc>
          <w:tcPr>
            <w:tcW w:w="2552" w:type="dxa"/>
          </w:tcPr>
          <w:p w14:paraId="426C9C32" w14:textId="77777777" w:rsidR="00996131" w:rsidRPr="008742B1" w:rsidRDefault="00996131" w:rsidP="006A5140">
            <w:pPr>
              <w:autoSpaceDE w:val="0"/>
              <w:autoSpaceDN w:val="0"/>
              <w:adjustRightInd w:val="0"/>
              <w:spacing w:line="320" w:lineRule="atLeast"/>
              <w:rPr>
                <w:color w:val="000000"/>
                <w:lang w:eastAsia="en-GB"/>
              </w:rPr>
            </w:pPr>
          </w:p>
        </w:tc>
        <w:tc>
          <w:tcPr>
            <w:tcW w:w="1559" w:type="dxa"/>
            <w:tcBorders>
              <w:right w:val="single" w:sz="4" w:space="0" w:color="000000"/>
            </w:tcBorders>
            <w:vAlign w:val="center"/>
          </w:tcPr>
          <w:p w14:paraId="5BB0F89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393</w:t>
            </w:r>
          </w:p>
        </w:tc>
        <w:tc>
          <w:tcPr>
            <w:tcW w:w="1984" w:type="dxa"/>
            <w:tcBorders>
              <w:left w:val="single" w:sz="4" w:space="0" w:color="000000"/>
            </w:tcBorders>
            <w:vAlign w:val="center"/>
          </w:tcPr>
          <w:p w14:paraId="2F3E7FB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100%</w:t>
            </w:r>
          </w:p>
        </w:tc>
      </w:tr>
      <w:tr w:rsidR="00996131" w:rsidRPr="008742B1" w14:paraId="17E3242E" w14:textId="77777777" w:rsidTr="006A5140">
        <w:tc>
          <w:tcPr>
            <w:tcW w:w="2518" w:type="dxa"/>
          </w:tcPr>
          <w:p w14:paraId="4F4678C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PGE</w:t>
            </w:r>
            <w:r w:rsidRPr="008742B1">
              <w:rPr>
                <w:color w:val="000000"/>
                <w:vertAlign w:val="subscript"/>
                <w:lang w:eastAsia="en-GB"/>
              </w:rPr>
              <w:t>2</w:t>
            </w:r>
            <w:r w:rsidRPr="008742B1">
              <w:rPr>
                <w:color w:val="000000"/>
                <w:lang w:eastAsia="en-GB"/>
              </w:rPr>
              <w:t xml:space="preserve"> doses</w:t>
            </w:r>
          </w:p>
        </w:tc>
        <w:tc>
          <w:tcPr>
            <w:tcW w:w="2552" w:type="dxa"/>
          </w:tcPr>
          <w:p w14:paraId="5D951A6D"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1</w:t>
            </w:r>
          </w:p>
        </w:tc>
        <w:tc>
          <w:tcPr>
            <w:tcW w:w="1559" w:type="dxa"/>
            <w:tcBorders>
              <w:right w:val="single" w:sz="4" w:space="0" w:color="000000"/>
            </w:tcBorders>
            <w:vAlign w:val="center"/>
          </w:tcPr>
          <w:p w14:paraId="3C23AC2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155</w:t>
            </w:r>
          </w:p>
        </w:tc>
        <w:tc>
          <w:tcPr>
            <w:tcW w:w="1984" w:type="dxa"/>
            <w:tcBorders>
              <w:left w:val="single" w:sz="4" w:space="0" w:color="000000"/>
            </w:tcBorders>
            <w:vAlign w:val="center"/>
          </w:tcPr>
          <w:p w14:paraId="3F9024D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39.4%</w:t>
            </w:r>
          </w:p>
        </w:tc>
      </w:tr>
      <w:tr w:rsidR="00996131" w:rsidRPr="008742B1" w14:paraId="39FC6761" w14:textId="77777777" w:rsidTr="006A5140">
        <w:tc>
          <w:tcPr>
            <w:tcW w:w="2518" w:type="dxa"/>
          </w:tcPr>
          <w:p w14:paraId="7FEFAFC8" w14:textId="77777777" w:rsidR="00996131" w:rsidRPr="008742B1" w:rsidRDefault="00996131" w:rsidP="006A5140">
            <w:pPr>
              <w:autoSpaceDE w:val="0"/>
              <w:autoSpaceDN w:val="0"/>
              <w:adjustRightInd w:val="0"/>
              <w:spacing w:line="320" w:lineRule="atLeast"/>
              <w:rPr>
                <w:color w:val="000000"/>
                <w:lang w:eastAsia="en-GB"/>
              </w:rPr>
            </w:pPr>
          </w:p>
        </w:tc>
        <w:tc>
          <w:tcPr>
            <w:tcW w:w="2552" w:type="dxa"/>
          </w:tcPr>
          <w:p w14:paraId="293778E7"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2</w:t>
            </w:r>
          </w:p>
        </w:tc>
        <w:tc>
          <w:tcPr>
            <w:tcW w:w="1559" w:type="dxa"/>
            <w:tcBorders>
              <w:right w:val="single" w:sz="4" w:space="0" w:color="000000"/>
            </w:tcBorders>
            <w:vAlign w:val="center"/>
          </w:tcPr>
          <w:p w14:paraId="50260976"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201</w:t>
            </w:r>
          </w:p>
        </w:tc>
        <w:tc>
          <w:tcPr>
            <w:tcW w:w="1984" w:type="dxa"/>
            <w:tcBorders>
              <w:left w:val="single" w:sz="4" w:space="0" w:color="000000"/>
            </w:tcBorders>
            <w:vAlign w:val="center"/>
          </w:tcPr>
          <w:p w14:paraId="5E45E20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51.1%</w:t>
            </w:r>
          </w:p>
        </w:tc>
      </w:tr>
      <w:tr w:rsidR="00996131" w:rsidRPr="008742B1" w14:paraId="7DC798C7" w14:textId="77777777" w:rsidTr="006A5140">
        <w:tc>
          <w:tcPr>
            <w:tcW w:w="2518" w:type="dxa"/>
          </w:tcPr>
          <w:p w14:paraId="2316C95C" w14:textId="77777777" w:rsidR="00996131" w:rsidRPr="008742B1" w:rsidRDefault="00996131" w:rsidP="006A5140">
            <w:pPr>
              <w:autoSpaceDE w:val="0"/>
              <w:autoSpaceDN w:val="0"/>
              <w:adjustRightInd w:val="0"/>
              <w:spacing w:line="320" w:lineRule="atLeast"/>
              <w:rPr>
                <w:color w:val="000000"/>
                <w:lang w:eastAsia="en-GB"/>
              </w:rPr>
            </w:pPr>
          </w:p>
        </w:tc>
        <w:tc>
          <w:tcPr>
            <w:tcW w:w="2552" w:type="dxa"/>
          </w:tcPr>
          <w:p w14:paraId="3C378F16"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w:t>
            </w:r>
          </w:p>
        </w:tc>
        <w:tc>
          <w:tcPr>
            <w:tcW w:w="1559" w:type="dxa"/>
            <w:tcBorders>
              <w:right w:val="single" w:sz="4" w:space="0" w:color="000000"/>
            </w:tcBorders>
            <w:vAlign w:val="center"/>
          </w:tcPr>
          <w:p w14:paraId="3A790F7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37</w:t>
            </w:r>
          </w:p>
        </w:tc>
        <w:tc>
          <w:tcPr>
            <w:tcW w:w="1984" w:type="dxa"/>
            <w:tcBorders>
              <w:left w:val="single" w:sz="4" w:space="0" w:color="000000"/>
            </w:tcBorders>
            <w:vAlign w:val="center"/>
          </w:tcPr>
          <w:p w14:paraId="5153253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9.4%</w:t>
            </w:r>
          </w:p>
        </w:tc>
      </w:tr>
      <w:tr w:rsidR="00996131" w:rsidRPr="008742B1" w14:paraId="56F43C95" w14:textId="77777777" w:rsidTr="006A5140">
        <w:tc>
          <w:tcPr>
            <w:tcW w:w="2518" w:type="dxa"/>
          </w:tcPr>
          <w:p w14:paraId="6D3CF669"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type of delivery</w:t>
            </w:r>
          </w:p>
        </w:tc>
        <w:tc>
          <w:tcPr>
            <w:tcW w:w="2552" w:type="dxa"/>
          </w:tcPr>
          <w:p w14:paraId="56C61E8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vaginal</w:t>
            </w:r>
          </w:p>
        </w:tc>
        <w:tc>
          <w:tcPr>
            <w:tcW w:w="1559" w:type="dxa"/>
            <w:tcBorders>
              <w:right w:val="single" w:sz="4" w:space="0" w:color="000000"/>
            </w:tcBorders>
            <w:vAlign w:val="center"/>
          </w:tcPr>
          <w:p w14:paraId="098E92D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308</w:t>
            </w:r>
          </w:p>
        </w:tc>
        <w:tc>
          <w:tcPr>
            <w:tcW w:w="1984" w:type="dxa"/>
            <w:tcBorders>
              <w:left w:val="single" w:sz="4" w:space="0" w:color="000000"/>
            </w:tcBorders>
            <w:vAlign w:val="center"/>
          </w:tcPr>
          <w:p w14:paraId="3DA3FB8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78.4%</w:t>
            </w:r>
          </w:p>
        </w:tc>
      </w:tr>
      <w:tr w:rsidR="00996131" w:rsidRPr="008742B1" w14:paraId="2475CA0A" w14:textId="77777777" w:rsidTr="006A5140">
        <w:tc>
          <w:tcPr>
            <w:tcW w:w="2518" w:type="dxa"/>
          </w:tcPr>
          <w:p w14:paraId="72C50D39" w14:textId="77777777" w:rsidR="00996131" w:rsidRPr="008742B1" w:rsidRDefault="00996131" w:rsidP="006A5140">
            <w:pPr>
              <w:autoSpaceDE w:val="0"/>
              <w:autoSpaceDN w:val="0"/>
              <w:adjustRightInd w:val="0"/>
              <w:spacing w:line="320" w:lineRule="atLeast"/>
              <w:rPr>
                <w:color w:val="000000"/>
                <w:lang w:eastAsia="en-GB"/>
              </w:rPr>
            </w:pPr>
          </w:p>
        </w:tc>
        <w:tc>
          <w:tcPr>
            <w:tcW w:w="2552" w:type="dxa"/>
          </w:tcPr>
          <w:p w14:paraId="0C992F88"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caesarean section</w:t>
            </w:r>
          </w:p>
        </w:tc>
        <w:tc>
          <w:tcPr>
            <w:tcW w:w="1559" w:type="dxa"/>
            <w:tcBorders>
              <w:right w:val="single" w:sz="4" w:space="0" w:color="000000"/>
            </w:tcBorders>
            <w:vAlign w:val="center"/>
          </w:tcPr>
          <w:p w14:paraId="6BC13691"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85</w:t>
            </w:r>
          </w:p>
        </w:tc>
        <w:tc>
          <w:tcPr>
            <w:tcW w:w="1984" w:type="dxa"/>
            <w:tcBorders>
              <w:left w:val="single" w:sz="4" w:space="0" w:color="000000"/>
            </w:tcBorders>
            <w:vAlign w:val="center"/>
          </w:tcPr>
          <w:p w14:paraId="6E57416C"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21.6%</w:t>
            </w:r>
          </w:p>
        </w:tc>
      </w:tr>
      <w:tr w:rsidR="00996131" w:rsidRPr="008742B1" w14:paraId="7E84F30D" w14:textId="77777777" w:rsidTr="006A5140">
        <w:tc>
          <w:tcPr>
            <w:tcW w:w="2518" w:type="dxa"/>
          </w:tcPr>
          <w:p w14:paraId="55D4BA92"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patient age</w:t>
            </w:r>
          </w:p>
        </w:tc>
        <w:tc>
          <w:tcPr>
            <w:tcW w:w="2552" w:type="dxa"/>
          </w:tcPr>
          <w:p w14:paraId="5D06642E"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29 yrs</w:t>
            </w:r>
          </w:p>
        </w:tc>
        <w:tc>
          <w:tcPr>
            <w:tcW w:w="1559" w:type="dxa"/>
            <w:tcBorders>
              <w:right w:val="single" w:sz="4" w:space="0" w:color="000000"/>
            </w:tcBorders>
            <w:vAlign w:val="center"/>
          </w:tcPr>
          <w:p w14:paraId="593E1D3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192</w:t>
            </w:r>
          </w:p>
        </w:tc>
        <w:tc>
          <w:tcPr>
            <w:tcW w:w="1984" w:type="dxa"/>
            <w:tcBorders>
              <w:left w:val="single" w:sz="4" w:space="0" w:color="000000"/>
            </w:tcBorders>
            <w:vAlign w:val="center"/>
          </w:tcPr>
          <w:p w14:paraId="3EF2AA8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48.9%</w:t>
            </w:r>
          </w:p>
        </w:tc>
      </w:tr>
      <w:tr w:rsidR="00996131" w:rsidRPr="008742B1" w14:paraId="58918133" w14:textId="77777777" w:rsidTr="006A5140">
        <w:tc>
          <w:tcPr>
            <w:tcW w:w="2518" w:type="dxa"/>
          </w:tcPr>
          <w:p w14:paraId="4D6D3D25" w14:textId="77777777" w:rsidR="00996131" w:rsidRPr="008742B1" w:rsidRDefault="00996131" w:rsidP="006A5140">
            <w:pPr>
              <w:autoSpaceDE w:val="0"/>
              <w:autoSpaceDN w:val="0"/>
              <w:adjustRightInd w:val="0"/>
              <w:rPr>
                <w:color w:val="000000"/>
                <w:lang w:eastAsia="en-GB"/>
              </w:rPr>
            </w:pPr>
          </w:p>
        </w:tc>
        <w:tc>
          <w:tcPr>
            <w:tcW w:w="2552" w:type="dxa"/>
          </w:tcPr>
          <w:p w14:paraId="72CFA55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30 yrs or over</w:t>
            </w:r>
          </w:p>
        </w:tc>
        <w:tc>
          <w:tcPr>
            <w:tcW w:w="1559" w:type="dxa"/>
            <w:tcBorders>
              <w:right w:val="single" w:sz="4" w:space="0" w:color="000000"/>
            </w:tcBorders>
            <w:vAlign w:val="center"/>
          </w:tcPr>
          <w:p w14:paraId="230789F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201</w:t>
            </w:r>
          </w:p>
        </w:tc>
        <w:tc>
          <w:tcPr>
            <w:tcW w:w="1984" w:type="dxa"/>
            <w:tcBorders>
              <w:left w:val="single" w:sz="4" w:space="0" w:color="000000"/>
            </w:tcBorders>
            <w:vAlign w:val="center"/>
          </w:tcPr>
          <w:p w14:paraId="7345D1E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51.1%</w:t>
            </w:r>
          </w:p>
        </w:tc>
      </w:tr>
      <w:tr w:rsidR="00996131" w:rsidRPr="008742B1" w14:paraId="44D7A87C" w14:textId="77777777" w:rsidTr="006A5140">
        <w:tc>
          <w:tcPr>
            <w:tcW w:w="2518" w:type="dxa"/>
          </w:tcPr>
          <w:p w14:paraId="6116610F"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parity</w:t>
            </w:r>
          </w:p>
        </w:tc>
        <w:tc>
          <w:tcPr>
            <w:tcW w:w="2552" w:type="dxa"/>
          </w:tcPr>
          <w:p w14:paraId="32966CFE"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nulliparous</w:t>
            </w:r>
          </w:p>
        </w:tc>
        <w:tc>
          <w:tcPr>
            <w:tcW w:w="1559" w:type="dxa"/>
            <w:tcBorders>
              <w:right w:val="single" w:sz="4" w:space="0" w:color="000000"/>
            </w:tcBorders>
            <w:vAlign w:val="center"/>
          </w:tcPr>
          <w:p w14:paraId="4FE01F5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208</w:t>
            </w:r>
          </w:p>
        </w:tc>
        <w:tc>
          <w:tcPr>
            <w:tcW w:w="1984" w:type="dxa"/>
            <w:tcBorders>
              <w:left w:val="single" w:sz="4" w:space="0" w:color="000000"/>
            </w:tcBorders>
            <w:vAlign w:val="center"/>
          </w:tcPr>
          <w:p w14:paraId="642043D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52.9%</w:t>
            </w:r>
          </w:p>
        </w:tc>
      </w:tr>
      <w:tr w:rsidR="00996131" w:rsidRPr="008742B1" w14:paraId="631375B4" w14:textId="77777777" w:rsidTr="006A5140">
        <w:tc>
          <w:tcPr>
            <w:tcW w:w="2518" w:type="dxa"/>
          </w:tcPr>
          <w:p w14:paraId="20676FEB" w14:textId="77777777" w:rsidR="00996131" w:rsidRPr="008742B1" w:rsidRDefault="00996131" w:rsidP="006A5140">
            <w:pPr>
              <w:autoSpaceDE w:val="0"/>
              <w:autoSpaceDN w:val="0"/>
              <w:adjustRightInd w:val="0"/>
              <w:rPr>
                <w:color w:val="000000"/>
                <w:lang w:eastAsia="en-GB"/>
              </w:rPr>
            </w:pPr>
          </w:p>
        </w:tc>
        <w:tc>
          <w:tcPr>
            <w:tcW w:w="2552" w:type="dxa"/>
          </w:tcPr>
          <w:p w14:paraId="3B3D602A"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one child</w:t>
            </w:r>
          </w:p>
        </w:tc>
        <w:tc>
          <w:tcPr>
            <w:tcW w:w="1559" w:type="dxa"/>
            <w:tcBorders>
              <w:right w:val="single" w:sz="4" w:space="0" w:color="000000"/>
            </w:tcBorders>
            <w:vAlign w:val="center"/>
          </w:tcPr>
          <w:p w14:paraId="3C9F0446"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106</w:t>
            </w:r>
          </w:p>
        </w:tc>
        <w:tc>
          <w:tcPr>
            <w:tcW w:w="1984" w:type="dxa"/>
            <w:tcBorders>
              <w:left w:val="single" w:sz="4" w:space="0" w:color="000000"/>
            </w:tcBorders>
            <w:vAlign w:val="center"/>
          </w:tcPr>
          <w:p w14:paraId="3B73C32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27.0%</w:t>
            </w:r>
          </w:p>
        </w:tc>
      </w:tr>
      <w:tr w:rsidR="00996131" w:rsidRPr="008742B1" w14:paraId="3961E174" w14:textId="77777777" w:rsidTr="006A5140">
        <w:tc>
          <w:tcPr>
            <w:tcW w:w="2518" w:type="dxa"/>
          </w:tcPr>
          <w:p w14:paraId="7C976ADB" w14:textId="77777777" w:rsidR="00996131" w:rsidRPr="008742B1" w:rsidRDefault="00996131" w:rsidP="006A5140">
            <w:pPr>
              <w:autoSpaceDE w:val="0"/>
              <w:autoSpaceDN w:val="0"/>
              <w:adjustRightInd w:val="0"/>
              <w:rPr>
                <w:color w:val="000000"/>
                <w:lang w:eastAsia="en-GB"/>
              </w:rPr>
            </w:pPr>
          </w:p>
        </w:tc>
        <w:tc>
          <w:tcPr>
            <w:tcW w:w="2552" w:type="dxa"/>
          </w:tcPr>
          <w:p w14:paraId="57EB460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two of more children</w:t>
            </w:r>
          </w:p>
        </w:tc>
        <w:tc>
          <w:tcPr>
            <w:tcW w:w="1559" w:type="dxa"/>
            <w:tcBorders>
              <w:right w:val="single" w:sz="4" w:space="0" w:color="000000"/>
            </w:tcBorders>
            <w:vAlign w:val="center"/>
          </w:tcPr>
          <w:p w14:paraId="77EB292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79</w:t>
            </w:r>
          </w:p>
        </w:tc>
        <w:tc>
          <w:tcPr>
            <w:tcW w:w="1984" w:type="dxa"/>
            <w:tcBorders>
              <w:left w:val="single" w:sz="4" w:space="0" w:color="000000"/>
            </w:tcBorders>
            <w:vAlign w:val="center"/>
          </w:tcPr>
          <w:p w14:paraId="139795F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20.1%</w:t>
            </w:r>
          </w:p>
        </w:tc>
      </w:tr>
      <w:tr w:rsidR="00996131" w:rsidRPr="008742B1" w14:paraId="182CA4C4" w14:textId="77777777" w:rsidTr="006A5140">
        <w:tc>
          <w:tcPr>
            <w:tcW w:w="2518" w:type="dxa"/>
          </w:tcPr>
          <w:p w14:paraId="7B12F11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gestation</w:t>
            </w:r>
          </w:p>
        </w:tc>
        <w:tc>
          <w:tcPr>
            <w:tcW w:w="2552" w:type="dxa"/>
          </w:tcPr>
          <w:p w14:paraId="20B8B470"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40 wks</w:t>
            </w:r>
          </w:p>
        </w:tc>
        <w:tc>
          <w:tcPr>
            <w:tcW w:w="1559" w:type="dxa"/>
            <w:tcBorders>
              <w:right w:val="single" w:sz="4" w:space="0" w:color="000000"/>
            </w:tcBorders>
            <w:vAlign w:val="center"/>
          </w:tcPr>
          <w:p w14:paraId="68EEEA8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148</w:t>
            </w:r>
          </w:p>
        </w:tc>
        <w:tc>
          <w:tcPr>
            <w:tcW w:w="1984" w:type="dxa"/>
            <w:tcBorders>
              <w:left w:val="single" w:sz="4" w:space="0" w:color="000000"/>
            </w:tcBorders>
            <w:vAlign w:val="center"/>
          </w:tcPr>
          <w:p w14:paraId="30A72B15"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37.7%</w:t>
            </w:r>
          </w:p>
        </w:tc>
      </w:tr>
      <w:tr w:rsidR="00996131" w:rsidRPr="008742B1" w14:paraId="7228BE50" w14:textId="77777777" w:rsidTr="006A5140">
        <w:tc>
          <w:tcPr>
            <w:tcW w:w="2518" w:type="dxa"/>
          </w:tcPr>
          <w:p w14:paraId="03B9A868" w14:textId="77777777" w:rsidR="00996131" w:rsidRPr="008742B1" w:rsidRDefault="00996131" w:rsidP="006A5140">
            <w:pPr>
              <w:autoSpaceDE w:val="0"/>
              <w:autoSpaceDN w:val="0"/>
              <w:adjustRightInd w:val="0"/>
              <w:rPr>
                <w:color w:val="000000"/>
                <w:lang w:eastAsia="en-GB"/>
              </w:rPr>
            </w:pPr>
          </w:p>
        </w:tc>
        <w:tc>
          <w:tcPr>
            <w:tcW w:w="2552" w:type="dxa"/>
          </w:tcPr>
          <w:p w14:paraId="047E4FEA"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40 to 41 weeks</w:t>
            </w:r>
          </w:p>
        </w:tc>
        <w:tc>
          <w:tcPr>
            <w:tcW w:w="1559" w:type="dxa"/>
            <w:tcBorders>
              <w:right w:val="single" w:sz="4" w:space="0" w:color="000000"/>
            </w:tcBorders>
            <w:vAlign w:val="center"/>
          </w:tcPr>
          <w:p w14:paraId="7CCC64F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98</w:t>
            </w:r>
          </w:p>
        </w:tc>
        <w:tc>
          <w:tcPr>
            <w:tcW w:w="1984" w:type="dxa"/>
            <w:tcBorders>
              <w:left w:val="single" w:sz="4" w:space="0" w:color="000000"/>
            </w:tcBorders>
            <w:vAlign w:val="center"/>
          </w:tcPr>
          <w:p w14:paraId="484AA1A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24.9%</w:t>
            </w:r>
          </w:p>
        </w:tc>
      </w:tr>
      <w:tr w:rsidR="00996131" w:rsidRPr="008742B1" w14:paraId="2C7449E2" w14:textId="77777777" w:rsidTr="006A5140">
        <w:tc>
          <w:tcPr>
            <w:tcW w:w="2518" w:type="dxa"/>
          </w:tcPr>
          <w:p w14:paraId="2019EED0" w14:textId="77777777" w:rsidR="00996131" w:rsidRPr="008742B1" w:rsidRDefault="00996131" w:rsidP="006A5140">
            <w:pPr>
              <w:autoSpaceDE w:val="0"/>
              <w:autoSpaceDN w:val="0"/>
              <w:adjustRightInd w:val="0"/>
              <w:rPr>
                <w:color w:val="000000"/>
                <w:lang w:eastAsia="en-GB"/>
              </w:rPr>
            </w:pPr>
          </w:p>
        </w:tc>
        <w:tc>
          <w:tcPr>
            <w:tcW w:w="2552" w:type="dxa"/>
          </w:tcPr>
          <w:p w14:paraId="1DEB5CD5"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42 weeks</w:t>
            </w:r>
          </w:p>
        </w:tc>
        <w:tc>
          <w:tcPr>
            <w:tcW w:w="1559" w:type="dxa"/>
            <w:tcBorders>
              <w:right w:val="single" w:sz="4" w:space="0" w:color="000000"/>
            </w:tcBorders>
            <w:vAlign w:val="center"/>
          </w:tcPr>
          <w:p w14:paraId="695524D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147</w:t>
            </w:r>
          </w:p>
        </w:tc>
        <w:tc>
          <w:tcPr>
            <w:tcW w:w="1984" w:type="dxa"/>
            <w:tcBorders>
              <w:left w:val="single" w:sz="4" w:space="0" w:color="000000"/>
            </w:tcBorders>
            <w:vAlign w:val="center"/>
          </w:tcPr>
          <w:p w14:paraId="0273B85C"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37.4%</w:t>
            </w:r>
          </w:p>
        </w:tc>
      </w:tr>
      <w:tr w:rsidR="00996131" w:rsidRPr="008742B1" w14:paraId="6F873902" w14:textId="77777777" w:rsidTr="006A5140">
        <w:tc>
          <w:tcPr>
            <w:tcW w:w="2518" w:type="dxa"/>
          </w:tcPr>
          <w:p w14:paraId="0443403E"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BMI</w:t>
            </w:r>
          </w:p>
        </w:tc>
        <w:tc>
          <w:tcPr>
            <w:tcW w:w="2552" w:type="dxa"/>
          </w:tcPr>
          <w:p w14:paraId="23044C8A"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24</w:t>
            </w:r>
          </w:p>
        </w:tc>
        <w:tc>
          <w:tcPr>
            <w:tcW w:w="1559" w:type="dxa"/>
            <w:tcBorders>
              <w:right w:val="single" w:sz="4" w:space="0" w:color="000000"/>
            </w:tcBorders>
            <w:vAlign w:val="center"/>
          </w:tcPr>
          <w:p w14:paraId="76F8FE9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180</w:t>
            </w:r>
          </w:p>
        </w:tc>
        <w:tc>
          <w:tcPr>
            <w:tcW w:w="1984" w:type="dxa"/>
            <w:tcBorders>
              <w:left w:val="single" w:sz="4" w:space="0" w:color="000000"/>
            </w:tcBorders>
            <w:vAlign w:val="center"/>
          </w:tcPr>
          <w:p w14:paraId="494B79A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45.8%</w:t>
            </w:r>
          </w:p>
        </w:tc>
      </w:tr>
      <w:tr w:rsidR="00996131" w:rsidRPr="008742B1" w14:paraId="5B6ACA84" w14:textId="77777777" w:rsidTr="006A5140">
        <w:tc>
          <w:tcPr>
            <w:tcW w:w="2518" w:type="dxa"/>
          </w:tcPr>
          <w:p w14:paraId="31A30228" w14:textId="77777777" w:rsidR="00996131" w:rsidRPr="008742B1" w:rsidRDefault="00996131" w:rsidP="006A5140">
            <w:pPr>
              <w:autoSpaceDE w:val="0"/>
              <w:autoSpaceDN w:val="0"/>
              <w:adjustRightInd w:val="0"/>
              <w:rPr>
                <w:color w:val="000000"/>
                <w:lang w:eastAsia="en-GB"/>
              </w:rPr>
            </w:pPr>
          </w:p>
        </w:tc>
        <w:tc>
          <w:tcPr>
            <w:tcW w:w="2552" w:type="dxa"/>
          </w:tcPr>
          <w:p w14:paraId="559678E5"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25 to 29</w:t>
            </w:r>
          </w:p>
        </w:tc>
        <w:tc>
          <w:tcPr>
            <w:tcW w:w="1559" w:type="dxa"/>
            <w:tcBorders>
              <w:right w:val="single" w:sz="4" w:space="0" w:color="000000"/>
            </w:tcBorders>
            <w:vAlign w:val="center"/>
          </w:tcPr>
          <w:p w14:paraId="08A8C42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110</w:t>
            </w:r>
          </w:p>
        </w:tc>
        <w:tc>
          <w:tcPr>
            <w:tcW w:w="1984" w:type="dxa"/>
            <w:tcBorders>
              <w:left w:val="single" w:sz="4" w:space="0" w:color="000000"/>
            </w:tcBorders>
            <w:vAlign w:val="center"/>
          </w:tcPr>
          <w:p w14:paraId="4D79F9A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28.0%</w:t>
            </w:r>
          </w:p>
        </w:tc>
      </w:tr>
      <w:tr w:rsidR="00996131" w:rsidRPr="008742B1" w14:paraId="55E2C6E8" w14:textId="77777777" w:rsidTr="006A5140">
        <w:tc>
          <w:tcPr>
            <w:tcW w:w="2518" w:type="dxa"/>
          </w:tcPr>
          <w:p w14:paraId="2AE7FDCD" w14:textId="77777777" w:rsidR="00996131" w:rsidRPr="008742B1" w:rsidRDefault="00996131" w:rsidP="006A5140">
            <w:pPr>
              <w:autoSpaceDE w:val="0"/>
              <w:autoSpaceDN w:val="0"/>
              <w:adjustRightInd w:val="0"/>
              <w:rPr>
                <w:color w:val="000000"/>
                <w:lang w:eastAsia="en-GB"/>
              </w:rPr>
            </w:pPr>
          </w:p>
        </w:tc>
        <w:tc>
          <w:tcPr>
            <w:tcW w:w="2552" w:type="dxa"/>
          </w:tcPr>
          <w:p w14:paraId="21005EC4"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30 and over</w:t>
            </w:r>
          </w:p>
        </w:tc>
        <w:tc>
          <w:tcPr>
            <w:tcW w:w="1559" w:type="dxa"/>
            <w:tcBorders>
              <w:right w:val="single" w:sz="4" w:space="0" w:color="000000"/>
            </w:tcBorders>
            <w:vAlign w:val="center"/>
          </w:tcPr>
          <w:p w14:paraId="26404F0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103</w:t>
            </w:r>
          </w:p>
        </w:tc>
        <w:tc>
          <w:tcPr>
            <w:tcW w:w="1984" w:type="dxa"/>
            <w:tcBorders>
              <w:left w:val="single" w:sz="4" w:space="0" w:color="000000"/>
            </w:tcBorders>
            <w:vAlign w:val="center"/>
          </w:tcPr>
          <w:p w14:paraId="0C23D65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26.2%</w:t>
            </w:r>
          </w:p>
        </w:tc>
      </w:tr>
      <w:tr w:rsidR="00996131" w:rsidRPr="008742B1" w14:paraId="52383AA7" w14:textId="77777777" w:rsidTr="006A5140">
        <w:tc>
          <w:tcPr>
            <w:tcW w:w="2518" w:type="dxa"/>
          </w:tcPr>
          <w:p w14:paraId="77F5A36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centile</w:t>
            </w:r>
          </w:p>
        </w:tc>
        <w:tc>
          <w:tcPr>
            <w:tcW w:w="2552" w:type="dxa"/>
          </w:tcPr>
          <w:p w14:paraId="258B4AB7"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50th</w:t>
            </w:r>
          </w:p>
        </w:tc>
        <w:tc>
          <w:tcPr>
            <w:tcW w:w="1559" w:type="dxa"/>
            <w:tcBorders>
              <w:right w:val="single" w:sz="4" w:space="0" w:color="000000"/>
            </w:tcBorders>
            <w:vAlign w:val="center"/>
          </w:tcPr>
          <w:p w14:paraId="6BBE184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232</w:t>
            </w:r>
          </w:p>
        </w:tc>
        <w:tc>
          <w:tcPr>
            <w:tcW w:w="1984" w:type="dxa"/>
            <w:tcBorders>
              <w:left w:val="single" w:sz="4" w:space="0" w:color="000000"/>
            </w:tcBorders>
            <w:vAlign w:val="center"/>
          </w:tcPr>
          <w:p w14:paraId="76B67F2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59.0%</w:t>
            </w:r>
          </w:p>
        </w:tc>
      </w:tr>
      <w:tr w:rsidR="00996131" w:rsidRPr="008742B1" w14:paraId="7183F3D3" w14:textId="77777777" w:rsidTr="006A5140">
        <w:tc>
          <w:tcPr>
            <w:tcW w:w="2518" w:type="dxa"/>
          </w:tcPr>
          <w:p w14:paraId="522F09E2" w14:textId="77777777" w:rsidR="00996131" w:rsidRPr="008742B1" w:rsidRDefault="00996131" w:rsidP="006A5140">
            <w:pPr>
              <w:autoSpaceDE w:val="0"/>
              <w:autoSpaceDN w:val="0"/>
              <w:adjustRightInd w:val="0"/>
              <w:rPr>
                <w:color w:val="000000"/>
                <w:lang w:eastAsia="en-GB"/>
              </w:rPr>
            </w:pPr>
          </w:p>
        </w:tc>
        <w:tc>
          <w:tcPr>
            <w:tcW w:w="2552" w:type="dxa"/>
          </w:tcPr>
          <w:p w14:paraId="719B0E8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above 50th</w:t>
            </w:r>
          </w:p>
        </w:tc>
        <w:tc>
          <w:tcPr>
            <w:tcW w:w="1559" w:type="dxa"/>
            <w:tcBorders>
              <w:right w:val="single" w:sz="4" w:space="0" w:color="000000"/>
            </w:tcBorders>
            <w:vAlign w:val="center"/>
          </w:tcPr>
          <w:p w14:paraId="6489FCD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161</w:t>
            </w:r>
          </w:p>
        </w:tc>
        <w:tc>
          <w:tcPr>
            <w:tcW w:w="1984" w:type="dxa"/>
            <w:tcBorders>
              <w:left w:val="single" w:sz="4" w:space="0" w:color="000000"/>
            </w:tcBorders>
            <w:vAlign w:val="center"/>
          </w:tcPr>
          <w:p w14:paraId="1CB5477B"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41.0%</w:t>
            </w:r>
          </w:p>
        </w:tc>
      </w:tr>
    </w:tbl>
    <w:p w14:paraId="6E2DE40E" w14:textId="77777777" w:rsidR="00996131" w:rsidRDefault="00996131" w:rsidP="00996131">
      <w:pPr>
        <w:spacing w:line="360" w:lineRule="auto"/>
        <w:ind w:left="720" w:hanging="720"/>
      </w:pPr>
    </w:p>
    <w:p w14:paraId="7192D768" w14:textId="77777777" w:rsidR="00996131" w:rsidRDefault="00996131" w:rsidP="00996131">
      <w:pPr>
        <w:spacing w:line="360" w:lineRule="auto"/>
      </w:pPr>
    </w:p>
    <w:p w14:paraId="295EA765" w14:textId="77777777" w:rsidR="00996131" w:rsidRDefault="00996131" w:rsidP="00996131">
      <w:pPr>
        <w:rPr>
          <w:sz w:val="20"/>
          <w:szCs w:val="20"/>
        </w:rPr>
      </w:pPr>
    </w:p>
    <w:p w14:paraId="2F4895D9" w14:textId="77777777" w:rsidR="00996131" w:rsidRDefault="00996131" w:rsidP="00996131">
      <w:pPr>
        <w:rPr>
          <w:sz w:val="20"/>
          <w:szCs w:val="20"/>
        </w:rPr>
      </w:pPr>
    </w:p>
    <w:p w14:paraId="0EA97C9A" w14:textId="77777777" w:rsidR="00996131" w:rsidRDefault="00996131" w:rsidP="00996131">
      <w:pPr>
        <w:rPr>
          <w:sz w:val="20"/>
          <w:szCs w:val="20"/>
        </w:rPr>
      </w:pPr>
    </w:p>
    <w:p w14:paraId="171DE076" w14:textId="77777777" w:rsidR="00996131" w:rsidRDefault="00996131" w:rsidP="00996131">
      <w:pPr>
        <w:rPr>
          <w:sz w:val="20"/>
          <w:szCs w:val="20"/>
        </w:rPr>
      </w:pPr>
    </w:p>
    <w:p w14:paraId="7038D167" w14:textId="77777777" w:rsidR="00996131" w:rsidRDefault="00996131" w:rsidP="00996131">
      <w:pPr>
        <w:spacing w:line="360" w:lineRule="auto"/>
        <w:ind w:left="720" w:hanging="720"/>
      </w:pPr>
      <w:r>
        <w:br w:type="page"/>
      </w:r>
    </w:p>
    <w:p w14:paraId="4EC641A5" w14:textId="77777777" w:rsidR="00996131" w:rsidRDefault="00996131" w:rsidP="00996131">
      <w:pPr>
        <w:autoSpaceDE w:val="0"/>
        <w:autoSpaceDN w:val="0"/>
        <w:adjustRightInd w:val="0"/>
        <w:spacing w:line="360" w:lineRule="auto"/>
      </w:pPr>
      <w:r w:rsidRPr="00E27881">
        <w:rPr>
          <w:b/>
        </w:rPr>
        <w:t xml:space="preserve">Table </w:t>
      </w:r>
      <w:r>
        <w:rPr>
          <w:b/>
        </w:rPr>
        <w:t>II</w:t>
      </w:r>
      <w:r>
        <w:t xml:space="preserve">. </w:t>
      </w:r>
      <w:bookmarkStart w:id="4" w:name="OLE_LINK1"/>
      <w:bookmarkStart w:id="5" w:name="OLE_LINK2"/>
      <w:r>
        <w:t>Multivariable ordinal regression analysis of factors predicting the number of PGE</w:t>
      </w:r>
      <w:r>
        <w:rPr>
          <w:vertAlign w:val="subscript"/>
        </w:rPr>
        <w:t>2</w:t>
      </w:r>
      <w:r>
        <w:t xml:space="preserve"> doses used</w:t>
      </w:r>
      <w:bookmarkEnd w:id="4"/>
      <w:bookmarkEnd w:id="5"/>
      <w:r>
        <w:t>.</w:t>
      </w:r>
    </w:p>
    <w:p w14:paraId="26D14011" w14:textId="77777777" w:rsidR="00996131" w:rsidRDefault="00996131" w:rsidP="00996131">
      <w:pPr>
        <w:autoSpaceDE w:val="0"/>
        <w:autoSpaceDN w:val="0"/>
        <w:adjustRightInd w:val="0"/>
        <w:rPr>
          <w:lang w:eastAsia="en-GB"/>
        </w:rPr>
      </w:pPr>
    </w:p>
    <w:tbl>
      <w:tblPr>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9"/>
        <w:gridCol w:w="2694"/>
        <w:gridCol w:w="1134"/>
        <w:gridCol w:w="1559"/>
      </w:tblGrid>
      <w:tr w:rsidR="00996131" w14:paraId="0E464F14" w14:textId="77777777" w:rsidTr="006A5140">
        <w:tc>
          <w:tcPr>
            <w:tcW w:w="1809" w:type="dxa"/>
          </w:tcPr>
          <w:p w14:paraId="44939FF2" w14:textId="77777777" w:rsidR="00996131" w:rsidRPr="008742B1" w:rsidRDefault="00996131" w:rsidP="006A5140">
            <w:pPr>
              <w:autoSpaceDE w:val="0"/>
              <w:autoSpaceDN w:val="0"/>
              <w:adjustRightInd w:val="0"/>
              <w:rPr>
                <w:rFonts w:ascii="Arial" w:hAnsi="Arial" w:cs="Arial"/>
                <w:b/>
                <w:lang w:eastAsia="en-GB"/>
              </w:rPr>
            </w:pPr>
            <w:r w:rsidRPr="008742B1">
              <w:rPr>
                <w:rFonts w:ascii="Arial" w:hAnsi="Arial" w:cs="Arial"/>
                <w:b/>
                <w:lang w:eastAsia="en-GB"/>
              </w:rPr>
              <w:t>Variable</w:t>
            </w:r>
          </w:p>
        </w:tc>
        <w:tc>
          <w:tcPr>
            <w:tcW w:w="2694" w:type="dxa"/>
          </w:tcPr>
          <w:p w14:paraId="6E6BE399" w14:textId="77777777" w:rsidR="00996131" w:rsidRPr="008742B1" w:rsidRDefault="00996131" w:rsidP="006A5140">
            <w:pPr>
              <w:autoSpaceDE w:val="0"/>
              <w:autoSpaceDN w:val="0"/>
              <w:adjustRightInd w:val="0"/>
              <w:rPr>
                <w:rFonts w:ascii="Arial" w:hAnsi="Arial" w:cs="Arial"/>
                <w:b/>
                <w:lang w:eastAsia="en-GB"/>
              </w:rPr>
            </w:pPr>
          </w:p>
        </w:tc>
        <w:tc>
          <w:tcPr>
            <w:tcW w:w="1134" w:type="dxa"/>
            <w:tcBorders>
              <w:bottom w:val="single" w:sz="4" w:space="0" w:color="000000"/>
            </w:tcBorders>
          </w:tcPr>
          <w:p w14:paraId="3C0758DF" w14:textId="77777777" w:rsidR="00996131" w:rsidRPr="008742B1" w:rsidRDefault="00996131" w:rsidP="006A5140">
            <w:pPr>
              <w:autoSpaceDE w:val="0"/>
              <w:autoSpaceDN w:val="0"/>
              <w:adjustRightInd w:val="0"/>
              <w:rPr>
                <w:rFonts w:ascii="Arial" w:hAnsi="Arial" w:cs="Arial"/>
                <w:b/>
                <w:lang w:eastAsia="en-GB"/>
              </w:rPr>
            </w:pPr>
            <w:r w:rsidRPr="008742B1">
              <w:rPr>
                <w:rFonts w:ascii="Arial" w:hAnsi="Arial" w:cs="Arial"/>
                <w:b/>
                <w:lang w:eastAsia="en-GB"/>
              </w:rPr>
              <w:t xml:space="preserve">OR </w:t>
            </w:r>
          </w:p>
        </w:tc>
        <w:tc>
          <w:tcPr>
            <w:tcW w:w="1559" w:type="dxa"/>
          </w:tcPr>
          <w:p w14:paraId="00E93942" w14:textId="77777777" w:rsidR="00996131" w:rsidRPr="008742B1" w:rsidRDefault="00996131" w:rsidP="006A5140">
            <w:pPr>
              <w:autoSpaceDE w:val="0"/>
              <w:autoSpaceDN w:val="0"/>
              <w:adjustRightInd w:val="0"/>
              <w:rPr>
                <w:rFonts w:ascii="Arial" w:hAnsi="Arial" w:cs="Arial"/>
                <w:b/>
                <w:lang w:eastAsia="en-GB"/>
              </w:rPr>
            </w:pPr>
            <w:r w:rsidRPr="008742B1">
              <w:rPr>
                <w:rFonts w:ascii="Arial" w:hAnsi="Arial" w:cs="Arial"/>
                <w:b/>
                <w:lang w:eastAsia="en-GB"/>
              </w:rPr>
              <w:t>95% CI</w:t>
            </w:r>
          </w:p>
        </w:tc>
      </w:tr>
      <w:tr w:rsidR="00996131" w14:paraId="0887F461" w14:textId="77777777" w:rsidTr="006A5140">
        <w:tc>
          <w:tcPr>
            <w:tcW w:w="1809" w:type="dxa"/>
          </w:tcPr>
          <w:p w14:paraId="3A546B4A"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patient age</w:t>
            </w:r>
          </w:p>
        </w:tc>
        <w:tc>
          <w:tcPr>
            <w:tcW w:w="2694" w:type="dxa"/>
          </w:tcPr>
          <w:p w14:paraId="53A4BDA0"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29 yrs</w:t>
            </w:r>
          </w:p>
        </w:tc>
        <w:tc>
          <w:tcPr>
            <w:tcW w:w="1134" w:type="dxa"/>
            <w:tcBorders>
              <w:right w:val="single" w:sz="4" w:space="0" w:color="000000"/>
            </w:tcBorders>
            <w:vAlign w:val="center"/>
          </w:tcPr>
          <w:p w14:paraId="720B8D1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1.12</w:t>
            </w:r>
          </w:p>
        </w:tc>
        <w:tc>
          <w:tcPr>
            <w:tcW w:w="1559" w:type="dxa"/>
            <w:tcBorders>
              <w:left w:val="single" w:sz="4" w:space="0" w:color="000000"/>
            </w:tcBorders>
            <w:vAlign w:val="center"/>
          </w:tcPr>
          <w:p w14:paraId="402FE59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 xml:space="preserve">0.75 to 1.67 </w:t>
            </w:r>
          </w:p>
        </w:tc>
      </w:tr>
      <w:tr w:rsidR="00996131" w14:paraId="1D82240B" w14:textId="77777777" w:rsidTr="006A5140">
        <w:tc>
          <w:tcPr>
            <w:tcW w:w="1809" w:type="dxa"/>
          </w:tcPr>
          <w:p w14:paraId="62B6DFE3" w14:textId="77777777" w:rsidR="00996131" w:rsidRPr="008742B1" w:rsidRDefault="00996131" w:rsidP="006A5140">
            <w:pPr>
              <w:autoSpaceDE w:val="0"/>
              <w:autoSpaceDN w:val="0"/>
              <w:adjustRightInd w:val="0"/>
              <w:rPr>
                <w:color w:val="000000"/>
                <w:lang w:eastAsia="en-GB"/>
              </w:rPr>
            </w:pPr>
          </w:p>
        </w:tc>
        <w:tc>
          <w:tcPr>
            <w:tcW w:w="2694" w:type="dxa"/>
          </w:tcPr>
          <w:p w14:paraId="1CB7FF94"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30 yrs or over</w:t>
            </w:r>
          </w:p>
        </w:tc>
        <w:tc>
          <w:tcPr>
            <w:tcW w:w="1134" w:type="dxa"/>
            <w:tcBorders>
              <w:right w:val="single" w:sz="4" w:space="0" w:color="000000"/>
            </w:tcBorders>
            <w:vAlign w:val="center"/>
          </w:tcPr>
          <w:p w14:paraId="59D48AC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w:t>
            </w:r>
          </w:p>
        </w:tc>
        <w:tc>
          <w:tcPr>
            <w:tcW w:w="1559" w:type="dxa"/>
            <w:tcBorders>
              <w:left w:val="single" w:sz="4" w:space="0" w:color="000000"/>
            </w:tcBorders>
            <w:vAlign w:val="center"/>
          </w:tcPr>
          <w:p w14:paraId="49DC24F2" w14:textId="77777777" w:rsidR="00996131" w:rsidRPr="008742B1" w:rsidRDefault="00996131" w:rsidP="006A5140">
            <w:pPr>
              <w:autoSpaceDE w:val="0"/>
              <w:autoSpaceDN w:val="0"/>
              <w:adjustRightInd w:val="0"/>
              <w:spacing w:line="320" w:lineRule="atLeast"/>
              <w:jc w:val="right"/>
              <w:rPr>
                <w:color w:val="000000"/>
                <w:lang w:eastAsia="en-GB"/>
              </w:rPr>
            </w:pPr>
          </w:p>
        </w:tc>
      </w:tr>
      <w:tr w:rsidR="00996131" w14:paraId="5C81ECCD" w14:textId="77777777" w:rsidTr="006A5140">
        <w:tc>
          <w:tcPr>
            <w:tcW w:w="1809" w:type="dxa"/>
          </w:tcPr>
          <w:p w14:paraId="24AD8274"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parity</w:t>
            </w:r>
          </w:p>
        </w:tc>
        <w:tc>
          <w:tcPr>
            <w:tcW w:w="2694" w:type="dxa"/>
          </w:tcPr>
          <w:p w14:paraId="2F72686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nulliparous</w:t>
            </w:r>
          </w:p>
        </w:tc>
        <w:tc>
          <w:tcPr>
            <w:tcW w:w="1134" w:type="dxa"/>
            <w:tcBorders>
              <w:right w:val="single" w:sz="4" w:space="0" w:color="000000"/>
            </w:tcBorders>
            <w:vAlign w:val="center"/>
          </w:tcPr>
          <w:p w14:paraId="531CA74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2.73*</w:t>
            </w:r>
          </w:p>
        </w:tc>
        <w:tc>
          <w:tcPr>
            <w:tcW w:w="1559" w:type="dxa"/>
            <w:tcBorders>
              <w:left w:val="single" w:sz="4" w:space="0" w:color="000000"/>
            </w:tcBorders>
            <w:vAlign w:val="center"/>
          </w:tcPr>
          <w:p w14:paraId="0D499FB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1.61 to 4.63</w:t>
            </w:r>
          </w:p>
        </w:tc>
      </w:tr>
      <w:tr w:rsidR="00996131" w14:paraId="766DAFC3" w14:textId="77777777" w:rsidTr="006A5140">
        <w:tc>
          <w:tcPr>
            <w:tcW w:w="1809" w:type="dxa"/>
          </w:tcPr>
          <w:p w14:paraId="7F6657D3" w14:textId="77777777" w:rsidR="00996131" w:rsidRPr="008742B1" w:rsidRDefault="00996131" w:rsidP="006A5140">
            <w:pPr>
              <w:autoSpaceDE w:val="0"/>
              <w:autoSpaceDN w:val="0"/>
              <w:adjustRightInd w:val="0"/>
              <w:rPr>
                <w:color w:val="000000"/>
                <w:lang w:eastAsia="en-GB"/>
              </w:rPr>
            </w:pPr>
          </w:p>
        </w:tc>
        <w:tc>
          <w:tcPr>
            <w:tcW w:w="2694" w:type="dxa"/>
          </w:tcPr>
          <w:p w14:paraId="14443450"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one child</w:t>
            </w:r>
          </w:p>
        </w:tc>
        <w:tc>
          <w:tcPr>
            <w:tcW w:w="1134" w:type="dxa"/>
            <w:tcBorders>
              <w:right w:val="single" w:sz="4" w:space="0" w:color="000000"/>
            </w:tcBorders>
            <w:vAlign w:val="center"/>
          </w:tcPr>
          <w:p w14:paraId="1797A1E1"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1.19</w:t>
            </w:r>
          </w:p>
        </w:tc>
        <w:tc>
          <w:tcPr>
            <w:tcW w:w="1559" w:type="dxa"/>
            <w:tcBorders>
              <w:left w:val="single" w:sz="4" w:space="0" w:color="000000"/>
            </w:tcBorders>
            <w:vAlign w:val="center"/>
          </w:tcPr>
          <w:p w14:paraId="2F29ECC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0.67 to 2.12</w:t>
            </w:r>
          </w:p>
        </w:tc>
      </w:tr>
      <w:tr w:rsidR="00996131" w14:paraId="26B4CF72" w14:textId="77777777" w:rsidTr="006A5140">
        <w:tc>
          <w:tcPr>
            <w:tcW w:w="1809" w:type="dxa"/>
          </w:tcPr>
          <w:p w14:paraId="68FCB663" w14:textId="77777777" w:rsidR="00996131" w:rsidRPr="008742B1" w:rsidRDefault="00996131" w:rsidP="006A5140">
            <w:pPr>
              <w:autoSpaceDE w:val="0"/>
              <w:autoSpaceDN w:val="0"/>
              <w:adjustRightInd w:val="0"/>
              <w:rPr>
                <w:color w:val="000000"/>
                <w:lang w:eastAsia="en-GB"/>
              </w:rPr>
            </w:pPr>
          </w:p>
        </w:tc>
        <w:tc>
          <w:tcPr>
            <w:tcW w:w="2694" w:type="dxa"/>
          </w:tcPr>
          <w:p w14:paraId="41EDD931"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two of more children</w:t>
            </w:r>
          </w:p>
        </w:tc>
        <w:tc>
          <w:tcPr>
            <w:tcW w:w="1134" w:type="dxa"/>
            <w:tcBorders>
              <w:right w:val="single" w:sz="4" w:space="0" w:color="000000"/>
            </w:tcBorders>
            <w:vAlign w:val="center"/>
          </w:tcPr>
          <w:p w14:paraId="5CB215D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w:t>
            </w:r>
          </w:p>
        </w:tc>
        <w:tc>
          <w:tcPr>
            <w:tcW w:w="1559" w:type="dxa"/>
            <w:tcBorders>
              <w:left w:val="single" w:sz="4" w:space="0" w:color="000000"/>
            </w:tcBorders>
            <w:vAlign w:val="center"/>
          </w:tcPr>
          <w:p w14:paraId="36FD18FF" w14:textId="77777777" w:rsidR="00996131" w:rsidRPr="008742B1" w:rsidRDefault="00996131" w:rsidP="006A5140">
            <w:pPr>
              <w:autoSpaceDE w:val="0"/>
              <w:autoSpaceDN w:val="0"/>
              <w:adjustRightInd w:val="0"/>
              <w:spacing w:line="320" w:lineRule="atLeast"/>
              <w:jc w:val="right"/>
              <w:rPr>
                <w:color w:val="000000"/>
                <w:lang w:eastAsia="en-GB"/>
              </w:rPr>
            </w:pPr>
          </w:p>
        </w:tc>
      </w:tr>
      <w:tr w:rsidR="00996131" w14:paraId="01BD408B" w14:textId="77777777" w:rsidTr="006A5140">
        <w:tc>
          <w:tcPr>
            <w:tcW w:w="1809" w:type="dxa"/>
          </w:tcPr>
          <w:p w14:paraId="018715F8"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gestation</w:t>
            </w:r>
          </w:p>
        </w:tc>
        <w:tc>
          <w:tcPr>
            <w:tcW w:w="2694" w:type="dxa"/>
          </w:tcPr>
          <w:p w14:paraId="36627E7F"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40 wks</w:t>
            </w:r>
          </w:p>
        </w:tc>
        <w:tc>
          <w:tcPr>
            <w:tcW w:w="1134" w:type="dxa"/>
            <w:tcBorders>
              <w:right w:val="single" w:sz="4" w:space="0" w:color="000000"/>
            </w:tcBorders>
            <w:vAlign w:val="center"/>
          </w:tcPr>
          <w:p w14:paraId="7B9B98D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0.91</w:t>
            </w:r>
          </w:p>
        </w:tc>
        <w:tc>
          <w:tcPr>
            <w:tcW w:w="1559" w:type="dxa"/>
            <w:tcBorders>
              <w:left w:val="single" w:sz="4" w:space="0" w:color="000000"/>
            </w:tcBorders>
            <w:vAlign w:val="center"/>
          </w:tcPr>
          <w:p w14:paraId="1B435915"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0.58 to 1.44</w:t>
            </w:r>
          </w:p>
        </w:tc>
      </w:tr>
      <w:tr w:rsidR="00996131" w14:paraId="696ABF6B" w14:textId="77777777" w:rsidTr="006A5140">
        <w:tc>
          <w:tcPr>
            <w:tcW w:w="1809" w:type="dxa"/>
          </w:tcPr>
          <w:p w14:paraId="5461B3AA" w14:textId="77777777" w:rsidR="00996131" w:rsidRPr="008742B1" w:rsidRDefault="00996131" w:rsidP="006A5140">
            <w:pPr>
              <w:autoSpaceDE w:val="0"/>
              <w:autoSpaceDN w:val="0"/>
              <w:adjustRightInd w:val="0"/>
              <w:rPr>
                <w:color w:val="000000"/>
                <w:lang w:eastAsia="en-GB"/>
              </w:rPr>
            </w:pPr>
          </w:p>
        </w:tc>
        <w:tc>
          <w:tcPr>
            <w:tcW w:w="2694" w:type="dxa"/>
          </w:tcPr>
          <w:p w14:paraId="4336702E"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40 to 41 weeks</w:t>
            </w:r>
          </w:p>
        </w:tc>
        <w:tc>
          <w:tcPr>
            <w:tcW w:w="1134" w:type="dxa"/>
            <w:tcBorders>
              <w:right w:val="single" w:sz="4" w:space="0" w:color="000000"/>
            </w:tcBorders>
            <w:vAlign w:val="center"/>
          </w:tcPr>
          <w:p w14:paraId="1A7A630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w:t>
            </w:r>
          </w:p>
        </w:tc>
        <w:tc>
          <w:tcPr>
            <w:tcW w:w="1559" w:type="dxa"/>
            <w:tcBorders>
              <w:left w:val="single" w:sz="4" w:space="0" w:color="000000"/>
            </w:tcBorders>
            <w:vAlign w:val="center"/>
          </w:tcPr>
          <w:p w14:paraId="64353CC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0.60 to 1.65</w:t>
            </w:r>
          </w:p>
        </w:tc>
      </w:tr>
      <w:tr w:rsidR="00996131" w14:paraId="022ABBD2" w14:textId="77777777" w:rsidTr="006A5140">
        <w:tc>
          <w:tcPr>
            <w:tcW w:w="1809" w:type="dxa"/>
          </w:tcPr>
          <w:p w14:paraId="3F3E4D21" w14:textId="77777777" w:rsidR="00996131" w:rsidRPr="008742B1" w:rsidRDefault="00996131" w:rsidP="006A5140">
            <w:pPr>
              <w:autoSpaceDE w:val="0"/>
              <w:autoSpaceDN w:val="0"/>
              <w:adjustRightInd w:val="0"/>
              <w:rPr>
                <w:color w:val="000000"/>
                <w:lang w:eastAsia="en-GB"/>
              </w:rPr>
            </w:pPr>
          </w:p>
        </w:tc>
        <w:tc>
          <w:tcPr>
            <w:tcW w:w="2694" w:type="dxa"/>
          </w:tcPr>
          <w:p w14:paraId="5421BBF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42 weeks</w:t>
            </w:r>
          </w:p>
        </w:tc>
        <w:tc>
          <w:tcPr>
            <w:tcW w:w="1134" w:type="dxa"/>
            <w:tcBorders>
              <w:right w:val="single" w:sz="4" w:space="0" w:color="000000"/>
            </w:tcBorders>
            <w:vAlign w:val="center"/>
          </w:tcPr>
          <w:p w14:paraId="2D3599F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w:t>
            </w:r>
          </w:p>
        </w:tc>
        <w:tc>
          <w:tcPr>
            <w:tcW w:w="1559" w:type="dxa"/>
            <w:tcBorders>
              <w:left w:val="single" w:sz="4" w:space="0" w:color="000000"/>
            </w:tcBorders>
            <w:vAlign w:val="center"/>
          </w:tcPr>
          <w:p w14:paraId="7C5FCC3A" w14:textId="77777777" w:rsidR="00996131" w:rsidRPr="008742B1" w:rsidRDefault="00996131" w:rsidP="006A5140">
            <w:pPr>
              <w:autoSpaceDE w:val="0"/>
              <w:autoSpaceDN w:val="0"/>
              <w:adjustRightInd w:val="0"/>
              <w:spacing w:line="320" w:lineRule="atLeast"/>
              <w:jc w:val="right"/>
              <w:rPr>
                <w:color w:val="000000"/>
                <w:lang w:eastAsia="en-GB"/>
              </w:rPr>
            </w:pPr>
          </w:p>
        </w:tc>
      </w:tr>
      <w:tr w:rsidR="00996131" w14:paraId="7FEF2CC7" w14:textId="77777777" w:rsidTr="006A5140">
        <w:tc>
          <w:tcPr>
            <w:tcW w:w="1809" w:type="dxa"/>
          </w:tcPr>
          <w:p w14:paraId="3C740663"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BMI</w:t>
            </w:r>
          </w:p>
        </w:tc>
        <w:tc>
          <w:tcPr>
            <w:tcW w:w="2694" w:type="dxa"/>
          </w:tcPr>
          <w:p w14:paraId="4A25C60E"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24</w:t>
            </w:r>
          </w:p>
        </w:tc>
        <w:tc>
          <w:tcPr>
            <w:tcW w:w="1134" w:type="dxa"/>
            <w:tcBorders>
              <w:right w:val="single" w:sz="4" w:space="0" w:color="000000"/>
            </w:tcBorders>
            <w:vAlign w:val="center"/>
          </w:tcPr>
          <w:p w14:paraId="262BD98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0.70</w:t>
            </w:r>
          </w:p>
        </w:tc>
        <w:tc>
          <w:tcPr>
            <w:tcW w:w="1559" w:type="dxa"/>
            <w:tcBorders>
              <w:left w:val="single" w:sz="4" w:space="0" w:color="000000"/>
            </w:tcBorders>
            <w:vAlign w:val="center"/>
          </w:tcPr>
          <w:p w14:paraId="7B44229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0.43 to 1.13</w:t>
            </w:r>
          </w:p>
        </w:tc>
      </w:tr>
      <w:tr w:rsidR="00996131" w14:paraId="7AF0E366" w14:textId="77777777" w:rsidTr="006A5140">
        <w:tc>
          <w:tcPr>
            <w:tcW w:w="1809" w:type="dxa"/>
          </w:tcPr>
          <w:p w14:paraId="1595C44F" w14:textId="77777777" w:rsidR="00996131" w:rsidRPr="008742B1" w:rsidRDefault="00996131" w:rsidP="006A5140">
            <w:pPr>
              <w:autoSpaceDE w:val="0"/>
              <w:autoSpaceDN w:val="0"/>
              <w:adjustRightInd w:val="0"/>
              <w:rPr>
                <w:color w:val="000000"/>
                <w:lang w:eastAsia="en-GB"/>
              </w:rPr>
            </w:pPr>
          </w:p>
        </w:tc>
        <w:tc>
          <w:tcPr>
            <w:tcW w:w="2694" w:type="dxa"/>
          </w:tcPr>
          <w:p w14:paraId="2D98C179"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25 to 29</w:t>
            </w:r>
          </w:p>
        </w:tc>
        <w:tc>
          <w:tcPr>
            <w:tcW w:w="1134" w:type="dxa"/>
            <w:tcBorders>
              <w:right w:val="single" w:sz="4" w:space="0" w:color="000000"/>
            </w:tcBorders>
            <w:vAlign w:val="center"/>
          </w:tcPr>
          <w:p w14:paraId="5843105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0.73</w:t>
            </w:r>
          </w:p>
        </w:tc>
        <w:tc>
          <w:tcPr>
            <w:tcW w:w="1559" w:type="dxa"/>
            <w:tcBorders>
              <w:left w:val="single" w:sz="4" w:space="0" w:color="000000"/>
            </w:tcBorders>
            <w:vAlign w:val="center"/>
          </w:tcPr>
          <w:p w14:paraId="1FD64A66"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0.43 to 1.23</w:t>
            </w:r>
          </w:p>
        </w:tc>
      </w:tr>
      <w:tr w:rsidR="00996131" w14:paraId="3F792608" w14:textId="77777777" w:rsidTr="006A5140">
        <w:tc>
          <w:tcPr>
            <w:tcW w:w="1809" w:type="dxa"/>
          </w:tcPr>
          <w:p w14:paraId="0650B0AD" w14:textId="77777777" w:rsidR="00996131" w:rsidRPr="008742B1" w:rsidRDefault="00996131" w:rsidP="006A5140">
            <w:pPr>
              <w:autoSpaceDE w:val="0"/>
              <w:autoSpaceDN w:val="0"/>
              <w:adjustRightInd w:val="0"/>
              <w:rPr>
                <w:color w:val="000000"/>
                <w:lang w:eastAsia="en-GB"/>
              </w:rPr>
            </w:pPr>
          </w:p>
        </w:tc>
        <w:tc>
          <w:tcPr>
            <w:tcW w:w="2694" w:type="dxa"/>
          </w:tcPr>
          <w:p w14:paraId="6096909F"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30 and over</w:t>
            </w:r>
          </w:p>
        </w:tc>
        <w:tc>
          <w:tcPr>
            <w:tcW w:w="1134" w:type="dxa"/>
            <w:tcBorders>
              <w:right w:val="single" w:sz="4" w:space="0" w:color="000000"/>
            </w:tcBorders>
            <w:vAlign w:val="center"/>
          </w:tcPr>
          <w:p w14:paraId="0B37114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w:t>
            </w:r>
          </w:p>
        </w:tc>
        <w:tc>
          <w:tcPr>
            <w:tcW w:w="1559" w:type="dxa"/>
            <w:tcBorders>
              <w:left w:val="single" w:sz="4" w:space="0" w:color="000000"/>
            </w:tcBorders>
            <w:vAlign w:val="center"/>
          </w:tcPr>
          <w:p w14:paraId="5A9FCC9A" w14:textId="77777777" w:rsidR="00996131" w:rsidRPr="008742B1" w:rsidRDefault="00996131" w:rsidP="006A5140">
            <w:pPr>
              <w:autoSpaceDE w:val="0"/>
              <w:autoSpaceDN w:val="0"/>
              <w:adjustRightInd w:val="0"/>
              <w:spacing w:line="320" w:lineRule="atLeast"/>
              <w:jc w:val="right"/>
              <w:rPr>
                <w:color w:val="000000"/>
                <w:lang w:eastAsia="en-GB"/>
              </w:rPr>
            </w:pPr>
          </w:p>
        </w:tc>
      </w:tr>
      <w:tr w:rsidR="00996131" w14:paraId="51D027D0" w14:textId="77777777" w:rsidTr="006A5140">
        <w:tc>
          <w:tcPr>
            <w:tcW w:w="1809" w:type="dxa"/>
          </w:tcPr>
          <w:p w14:paraId="25B4E4F0"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centile</w:t>
            </w:r>
          </w:p>
        </w:tc>
        <w:tc>
          <w:tcPr>
            <w:tcW w:w="2694" w:type="dxa"/>
          </w:tcPr>
          <w:p w14:paraId="27BF9179"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50th</w:t>
            </w:r>
          </w:p>
        </w:tc>
        <w:tc>
          <w:tcPr>
            <w:tcW w:w="1134" w:type="dxa"/>
            <w:tcBorders>
              <w:right w:val="single" w:sz="4" w:space="0" w:color="000000"/>
            </w:tcBorders>
            <w:vAlign w:val="center"/>
          </w:tcPr>
          <w:p w14:paraId="7B3C90F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0.79</w:t>
            </w:r>
          </w:p>
        </w:tc>
        <w:tc>
          <w:tcPr>
            <w:tcW w:w="1559" w:type="dxa"/>
            <w:tcBorders>
              <w:left w:val="single" w:sz="4" w:space="0" w:color="000000"/>
            </w:tcBorders>
            <w:vAlign w:val="center"/>
          </w:tcPr>
          <w:p w14:paraId="5D9254E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0.53 to 1.18</w:t>
            </w:r>
          </w:p>
        </w:tc>
      </w:tr>
      <w:tr w:rsidR="00996131" w14:paraId="02882C99" w14:textId="77777777" w:rsidTr="006A5140">
        <w:tc>
          <w:tcPr>
            <w:tcW w:w="1809" w:type="dxa"/>
          </w:tcPr>
          <w:p w14:paraId="3994471B" w14:textId="77777777" w:rsidR="00996131" w:rsidRPr="008742B1" w:rsidRDefault="00996131" w:rsidP="006A5140">
            <w:pPr>
              <w:autoSpaceDE w:val="0"/>
              <w:autoSpaceDN w:val="0"/>
              <w:adjustRightInd w:val="0"/>
              <w:rPr>
                <w:color w:val="000000"/>
                <w:lang w:eastAsia="en-GB"/>
              </w:rPr>
            </w:pPr>
          </w:p>
        </w:tc>
        <w:tc>
          <w:tcPr>
            <w:tcW w:w="2694" w:type="dxa"/>
          </w:tcPr>
          <w:p w14:paraId="0878A9E8"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above 50th</w:t>
            </w:r>
          </w:p>
        </w:tc>
        <w:tc>
          <w:tcPr>
            <w:tcW w:w="1134" w:type="dxa"/>
            <w:tcBorders>
              <w:right w:val="single" w:sz="4" w:space="0" w:color="000000"/>
            </w:tcBorders>
            <w:vAlign w:val="center"/>
          </w:tcPr>
          <w:p w14:paraId="181AED9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1.0</w:t>
            </w:r>
          </w:p>
        </w:tc>
        <w:tc>
          <w:tcPr>
            <w:tcW w:w="1559" w:type="dxa"/>
            <w:tcBorders>
              <w:left w:val="single" w:sz="4" w:space="0" w:color="000000"/>
            </w:tcBorders>
            <w:vAlign w:val="center"/>
          </w:tcPr>
          <w:p w14:paraId="5C1A930C" w14:textId="77777777" w:rsidR="00996131" w:rsidRPr="008742B1" w:rsidRDefault="00996131" w:rsidP="006A5140">
            <w:pPr>
              <w:autoSpaceDE w:val="0"/>
              <w:autoSpaceDN w:val="0"/>
              <w:adjustRightInd w:val="0"/>
              <w:spacing w:line="320" w:lineRule="atLeast"/>
              <w:jc w:val="right"/>
              <w:rPr>
                <w:color w:val="000000"/>
                <w:lang w:eastAsia="en-GB"/>
              </w:rPr>
            </w:pPr>
          </w:p>
        </w:tc>
      </w:tr>
    </w:tbl>
    <w:p w14:paraId="3D239903" w14:textId="77777777" w:rsidR="00996131" w:rsidRDefault="00996131" w:rsidP="00996131">
      <w:pPr>
        <w:autoSpaceDE w:val="0"/>
        <w:autoSpaceDN w:val="0"/>
        <w:adjustRightInd w:val="0"/>
        <w:rPr>
          <w:lang w:eastAsia="en-GB"/>
        </w:rPr>
      </w:pPr>
      <w:r>
        <w:rPr>
          <w:lang w:eastAsia="en-GB"/>
        </w:rPr>
        <w:t>Pseudo R</w:t>
      </w:r>
      <w:r w:rsidRPr="00F56585">
        <w:rPr>
          <w:vertAlign w:val="superscript"/>
          <w:lang w:eastAsia="en-GB"/>
        </w:rPr>
        <w:t>2</w:t>
      </w:r>
      <w:r>
        <w:rPr>
          <w:lang w:eastAsia="en-GB"/>
        </w:rPr>
        <w:t xml:space="preserve"> = 0.078 (Nagelkerke); P value &lt; 0.05</w:t>
      </w:r>
    </w:p>
    <w:p w14:paraId="19B1E11C" w14:textId="77777777" w:rsidR="00996131" w:rsidRDefault="00996131" w:rsidP="00996131">
      <w:pPr>
        <w:autoSpaceDE w:val="0"/>
        <w:autoSpaceDN w:val="0"/>
        <w:adjustRightInd w:val="0"/>
        <w:spacing w:line="360" w:lineRule="auto"/>
      </w:pPr>
    </w:p>
    <w:p w14:paraId="5815B18F" w14:textId="77777777" w:rsidR="00996131" w:rsidRDefault="00996131" w:rsidP="00996131">
      <w:pPr>
        <w:autoSpaceDE w:val="0"/>
        <w:autoSpaceDN w:val="0"/>
        <w:adjustRightInd w:val="0"/>
        <w:spacing w:line="400" w:lineRule="atLeast"/>
        <w:rPr>
          <w:lang w:eastAsia="en-GB"/>
        </w:rPr>
      </w:pPr>
    </w:p>
    <w:p w14:paraId="5349923D" w14:textId="77777777" w:rsidR="00996131" w:rsidRDefault="00996131" w:rsidP="00996131">
      <w:pPr>
        <w:autoSpaceDE w:val="0"/>
        <w:autoSpaceDN w:val="0"/>
        <w:adjustRightInd w:val="0"/>
        <w:spacing w:line="360" w:lineRule="auto"/>
      </w:pPr>
    </w:p>
    <w:p w14:paraId="487C1F74" w14:textId="77777777" w:rsidR="00996131" w:rsidRDefault="00996131" w:rsidP="00996131">
      <w:pPr>
        <w:autoSpaceDE w:val="0"/>
        <w:autoSpaceDN w:val="0"/>
        <w:adjustRightInd w:val="0"/>
        <w:spacing w:line="360" w:lineRule="auto"/>
      </w:pPr>
    </w:p>
    <w:p w14:paraId="5CCF7131" w14:textId="77777777" w:rsidR="00996131" w:rsidRDefault="00996131" w:rsidP="00996131">
      <w:pPr>
        <w:autoSpaceDE w:val="0"/>
        <w:autoSpaceDN w:val="0"/>
        <w:adjustRightInd w:val="0"/>
        <w:spacing w:line="360" w:lineRule="auto"/>
      </w:pPr>
    </w:p>
    <w:p w14:paraId="1D364CA7" w14:textId="77777777" w:rsidR="00996131" w:rsidRDefault="00996131" w:rsidP="00996131">
      <w:pPr>
        <w:autoSpaceDE w:val="0"/>
        <w:autoSpaceDN w:val="0"/>
        <w:adjustRightInd w:val="0"/>
        <w:spacing w:line="360" w:lineRule="auto"/>
      </w:pPr>
    </w:p>
    <w:p w14:paraId="47277311" w14:textId="77777777" w:rsidR="00996131" w:rsidRDefault="00996131" w:rsidP="00996131">
      <w:pPr>
        <w:autoSpaceDE w:val="0"/>
        <w:autoSpaceDN w:val="0"/>
        <w:adjustRightInd w:val="0"/>
        <w:spacing w:line="360" w:lineRule="auto"/>
      </w:pPr>
    </w:p>
    <w:p w14:paraId="4F762931" w14:textId="77777777" w:rsidR="00996131" w:rsidRDefault="00996131" w:rsidP="00996131">
      <w:pPr>
        <w:autoSpaceDE w:val="0"/>
        <w:autoSpaceDN w:val="0"/>
        <w:adjustRightInd w:val="0"/>
        <w:spacing w:line="360" w:lineRule="auto"/>
      </w:pPr>
    </w:p>
    <w:p w14:paraId="03172ABA" w14:textId="77777777" w:rsidR="00996131" w:rsidRDefault="00996131" w:rsidP="00996131">
      <w:pPr>
        <w:autoSpaceDE w:val="0"/>
        <w:autoSpaceDN w:val="0"/>
        <w:adjustRightInd w:val="0"/>
        <w:spacing w:line="360" w:lineRule="auto"/>
      </w:pPr>
    </w:p>
    <w:p w14:paraId="2ACEC098" w14:textId="77777777" w:rsidR="00996131" w:rsidRDefault="00996131" w:rsidP="00996131">
      <w:pPr>
        <w:autoSpaceDE w:val="0"/>
        <w:autoSpaceDN w:val="0"/>
        <w:adjustRightInd w:val="0"/>
        <w:spacing w:line="360" w:lineRule="auto"/>
      </w:pPr>
    </w:p>
    <w:p w14:paraId="58BF4257" w14:textId="77777777" w:rsidR="00996131" w:rsidRDefault="00996131" w:rsidP="00996131">
      <w:pPr>
        <w:autoSpaceDE w:val="0"/>
        <w:autoSpaceDN w:val="0"/>
        <w:adjustRightInd w:val="0"/>
        <w:spacing w:line="360" w:lineRule="auto"/>
      </w:pPr>
    </w:p>
    <w:p w14:paraId="3C60DA26" w14:textId="77777777" w:rsidR="00996131" w:rsidRDefault="00996131" w:rsidP="00996131">
      <w:pPr>
        <w:autoSpaceDE w:val="0"/>
        <w:autoSpaceDN w:val="0"/>
        <w:adjustRightInd w:val="0"/>
        <w:spacing w:line="360" w:lineRule="auto"/>
      </w:pPr>
    </w:p>
    <w:p w14:paraId="6A9DB5C6" w14:textId="77777777" w:rsidR="00996131" w:rsidRDefault="00996131" w:rsidP="00996131">
      <w:pPr>
        <w:autoSpaceDE w:val="0"/>
        <w:autoSpaceDN w:val="0"/>
        <w:adjustRightInd w:val="0"/>
        <w:spacing w:line="360" w:lineRule="auto"/>
      </w:pPr>
    </w:p>
    <w:p w14:paraId="3F536231" w14:textId="77777777" w:rsidR="00996131" w:rsidRDefault="00996131" w:rsidP="00996131">
      <w:pPr>
        <w:autoSpaceDE w:val="0"/>
        <w:autoSpaceDN w:val="0"/>
        <w:adjustRightInd w:val="0"/>
        <w:spacing w:line="360" w:lineRule="auto"/>
      </w:pPr>
    </w:p>
    <w:p w14:paraId="7CEAD5E7" w14:textId="77777777" w:rsidR="00996131" w:rsidRDefault="00996131" w:rsidP="00996131">
      <w:pPr>
        <w:autoSpaceDE w:val="0"/>
        <w:autoSpaceDN w:val="0"/>
        <w:adjustRightInd w:val="0"/>
        <w:spacing w:line="360" w:lineRule="auto"/>
      </w:pPr>
    </w:p>
    <w:p w14:paraId="581CF288" w14:textId="77777777" w:rsidR="00996131" w:rsidRDefault="00996131" w:rsidP="00996131">
      <w:pPr>
        <w:spacing w:line="360" w:lineRule="auto"/>
        <w:ind w:left="720" w:hanging="720"/>
      </w:pPr>
      <w:r w:rsidRPr="00B32051">
        <w:rPr>
          <w:b/>
        </w:rPr>
        <w:t xml:space="preserve">Table </w:t>
      </w:r>
      <w:r>
        <w:rPr>
          <w:b/>
        </w:rPr>
        <w:t>III</w:t>
      </w:r>
      <w:r>
        <w:t>. Multivariable ordinal regression analysis of factors predicting the success of achieving vaginal delivery.</w:t>
      </w:r>
    </w:p>
    <w:p w14:paraId="69912FBC" w14:textId="77777777" w:rsidR="00996131" w:rsidRDefault="00996131" w:rsidP="00996131">
      <w:pPr>
        <w:spacing w:line="360" w:lineRule="auto"/>
        <w:ind w:left="720" w:hanging="720"/>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2268"/>
        <w:gridCol w:w="1134"/>
        <w:gridCol w:w="1275"/>
        <w:gridCol w:w="1134"/>
        <w:gridCol w:w="1701"/>
      </w:tblGrid>
      <w:tr w:rsidR="00996131" w14:paraId="04ED6C10" w14:textId="77777777" w:rsidTr="006A5140">
        <w:tc>
          <w:tcPr>
            <w:tcW w:w="1668" w:type="dxa"/>
          </w:tcPr>
          <w:p w14:paraId="01E12175" w14:textId="77777777" w:rsidR="00996131" w:rsidRPr="008742B1" w:rsidRDefault="00996131" w:rsidP="006A5140">
            <w:pPr>
              <w:autoSpaceDE w:val="0"/>
              <w:autoSpaceDN w:val="0"/>
              <w:adjustRightInd w:val="0"/>
              <w:rPr>
                <w:b/>
                <w:lang w:eastAsia="en-GB"/>
              </w:rPr>
            </w:pPr>
            <w:r w:rsidRPr="008742B1">
              <w:rPr>
                <w:b/>
                <w:lang w:eastAsia="en-GB"/>
              </w:rPr>
              <w:t>Variable</w:t>
            </w:r>
          </w:p>
        </w:tc>
        <w:tc>
          <w:tcPr>
            <w:tcW w:w="2268" w:type="dxa"/>
          </w:tcPr>
          <w:p w14:paraId="34CD3708" w14:textId="77777777" w:rsidR="00996131" w:rsidRPr="008742B1" w:rsidRDefault="00996131" w:rsidP="006A5140">
            <w:pPr>
              <w:autoSpaceDE w:val="0"/>
              <w:autoSpaceDN w:val="0"/>
              <w:adjustRightInd w:val="0"/>
              <w:rPr>
                <w:b/>
                <w:lang w:eastAsia="en-GB"/>
              </w:rPr>
            </w:pPr>
          </w:p>
        </w:tc>
        <w:tc>
          <w:tcPr>
            <w:tcW w:w="1134" w:type="dxa"/>
          </w:tcPr>
          <w:p w14:paraId="3FC50A38" w14:textId="77777777" w:rsidR="00996131" w:rsidRPr="008742B1" w:rsidRDefault="00996131" w:rsidP="006A5140">
            <w:pPr>
              <w:autoSpaceDE w:val="0"/>
              <w:autoSpaceDN w:val="0"/>
              <w:adjustRightInd w:val="0"/>
              <w:jc w:val="center"/>
              <w:rPr>
                <w:b/>
                <w:lang w:eastAsia="en-GB"/>
              </w:rPr>
            </w:pPr>
            <w:r w:rsidRPr="008742B1">
              <w:rPr>
                <w:b/>
                <w:lang w:eastAsia="en-GB"/>
              </w:rPr>
              <w:t>Vaginal delivery achieved (N)</w:t>
            </w:r>
          </w:p>
        </w:tc>
        <w:tc>
          <w:tcPr>
            <w:tcW w:w="1275" w:type="dxa"/>
          </w:tcPr>
          <w:p w14:paraId="0525EECC" w14:textId="77777777" w:rsidR="00996131" w:rsidRPr="008742B1" w:rsidRDefault="00996131" w:rsidP="006A5140">
            <w:pPr>
              <w:autoSpaceDE w:val="0"/>
              <w:autoSpaceDN w:val="0"/>
              <w:adjustRightInd w:val="0"/>
              <w:jc w:val="center"/>
              <w:rPr>
                <w:b/>
                <w:lang w:eastAsia="en-GB"/>
              </w:rPr>
            </w:pPr>
            <w:r w:rsidRPr="008742B1">
              <w:rPr>
                <w:b/>
                <w:lang w:eastAsia="en-GB"/>
              </w:rPr>
              <w:t>(%)</w:t>
            </w:r>
          </w:p>
        </w:tc>
        <w:tc>
          <w:tcPr>
            <w:tcW w:w="1134" w:type="dxa"/>
          </w:tcPr>
          <w:p w14:paraId="1B46C388" w14:textId="77777777" w:rsidR="00996131" w:rsidRPr="008742B1" w:rsidRDefault="00996131" w:rsidP="006A5140">
            <w:pPr>
              <w:autoSpaceDE w:val="0"/>
              <w:autoSpaceDN w:val="0"/>
              <w:adjustRightInd w:val="0"/>
              <w:jc w:val="center"/>
              <w:rPr>
                <w:b/>
                <w:lang w:eastAsia="en-GB"/>
              </w:rPr>
            </w:pPr>
            <w:r w:rsidRPr="008742B1">
              <w:rPr>
                <w:b/>
                <w:lang w:eastAsia="en-GB"/>
              </w:rPr>
              <w:t>OR</w:t>
            </w:r>
          </w:p>
        </w:tc>
        <w:tc>
          <w:tcPr>
            <w:tcW w:w="1701" w:type="dxa"/>
          </w:tcPr>
          <w:p w14:paraId="04C7ED76" w14:textId="77777777" w:rsidR="00996131" w:rsidRPr="008742B1" w:rsidRDefault="00996131" w:rsidP="006A5140">
            <w:pPr>
              <w:autoSpaceDE w:val="0"/>
              <w:autoSpaceDN w:val="0"/>
              <w:adjustRightInd w:val="0"/>
              <w:jc w:val="center"/>
              <w:rPr>
                <w:b/>
                <w:lang w:eastAsia="en-GB"/>
              </w:rPr>
            </w:pPr>
            <w:r w:rsidRPr="008742B1">
              <w:rPr>
                <w:b/>
                <w:lang w:eastAsia="en-GB"/>
              </w:rPr>
              <w:t>95% CI</w:t>
            </w:r>
          </w:p>
        </w:tc>
      </w:tr>
      <w:tr w:rsidR="00996131" w14:paraId="7DFDA74F" w14:textId="77777777" w:rsidTr="006A5140">
        <w:tc>
          <w:tcPr>
            <w:tcW w:w="1668" w:type="dxa"/>
          </w:tcPr>
          <w:p w14:paraId="23574B06"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patient age</w:t>
            </w:r>
          </w:p>
        </w:tc>
        <w:tc>
          <w:tcPr>
            <w:tcW w:w="2268" w:type="dxa"/>
          </w:tcPr>
          <w:p w14:paraId="66E5FB45"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29 yrs</w:t>
            </w:r>
          </w:p>
        </w:tc>
        <w:tc>
          <w:tcPr>
            <w:tcW w:w="1134" w:type="dxa"/>
            <w:vAlign w:val="center"/>
          </w:tcPr>
          <w:p w14:paraId="1FE57AF5"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160/192</w:t>
            </w:r>
          </w:p>
        </w:tc>
        <w:tc>
          <w:tcPr>
            <w:tcW w:w="1275" w:type="dxa"/>
            <w:vAlign w:val="center"/>
          </w:tcPr>
          <w:p w14:paraId="41AACA4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83.3%</w:t>
            </w:r>
          </w:p>
        </w:tc>
        <w:tc>
          <w:tcPr>
            <w:tcW w:w="1134" w:type="dxa"/>
            <w:vAlign w:val="center"/>
          </w:tcPr>
          <w:p w14:paraId="501E748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2.63*</w:t>
            </w:r>
          </w:p>
        </w:tc>
        <w:tc>
          <w:tcPr>
            <w:tcW w:w="1701" w:type="dxa"/>
            <w:vAlign w:val="center"/>
          </w:tcPr>
          <w:p w14:paraId="3B6A7455"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1.51 to 4.58</w:t>
            </w:r>
          </w:p>
        </w:tc>
      </w:tr>
      <w:tr w:rsidR="00996131" w14:paraId="2E8236BB" w14:textId="77777777" w:rsidTr="006A5140">
        <w:tc>
          <w:tcPr>
            <w:tcW w:w="1668" w:type="dxa"/>
          </w:tcPr>
          <w:p w14:paraId="07087804" w14:textId="77777777" w:rsidR="00996131" w:rsidRPr="008742B1" w:rsidRDefault="00996131" w:rsidP="006A5140">
            <w:pPr>
              <w:autoSpaceDE w:val="0"/>
              <w:autoSpaceDN w:val="0"/>
              <w:adjustRightInd w:val="0"/>
              <w:rPr>
                <w:color w:val="000000"/>
                <w:lang w:eastAsia="en-GB"/>
              </w:rPr>
            </w:pPr>
          </w:p>
        </w:tc>
        <w:tc>
          <w:tcPr>
            <w:tcW w:w="2268" w:type="dxa"/>
          </w:tcPr>
          <w:p w14:paraId="6AF0DDB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30 yrs or over</w:t>
            </w:r>
          </w:p>
        </w:tc>
        <w:tc>
          <w:tcPr>
            <w:tcW w:w="1134" w:type="dxa"/>
            <w:vAlign w:val="center"/>
          </w:tcPr>
          <w:p w14:paraId="35775C8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148/201</w:t>
            </w:r>
          </w:p>
        </w:tc>
        <w:tc>
          <w:tcPr>
            <w:tcW w:w="1275" w:type="dxa"/>
            <w:vAlign w:val="center"/>
          </w:tcPr>
          <w:p w14:paraId="3F264C6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73.6%</w:t>
            </w:r>
          </w:p>
        </w:tc>
        <w:tc>
          <w:tcPr>
            <w:tcW w:w="1134" w:type="dxa"/>
            <w:vAlign w:val="center"/>
          </w:tcPr>
          <w:p w14:paraId="3B4D5086"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w:t>
            </w:r>
          </w:p>
        </w:tc>
        <w:tc>
          <w:tcPr>
            <w:tcW w:w="1701" w:type="dxa"/>
            <w:vAlign w:val="center"/>
          </w:tcPr>
          <w:p w14:paraId="2017075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w:t>
            </w:r>
          </w:p>
        </w:tc>
      </w:tr>
      <w:tr w:rsidR="00996131" w14:paraId="589C4A7D" w14:textId="77777777" w:rsidTr="006A5140">
        <w:tc>
          <w:tcPr>
            <w:tcW w:w="1668" w:type="dxa"/>
          </w:tcPr>
          <w:p w14:paraId="547A6366"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parity</w:t>
            </w:r>
          </w:p>
        </w:tc>
        <w:tc>
          <w:tcPr>
            <w:tcW w:w="2268" w:type="dxa"/>
          </w:tcPr>
          <w:p w14:paraId="7644141F"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nulliparous</w:t>
            </w:r>
          </w:p>
        </w:tc>
        <w:tc>
          <w:tcPr>
            <w:tcW w:w="1134" w:type="dxa"/>
            <w:vAlign w:val="center"/>
          </w:tcPr>
          <w:p w14:paraId="2CC4E1D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140/208</w:t>
            </w:r>
          </w:p>
        </w:tc>
        <w:tc>
          <w:tcPr>
            <w:tcW w:w="1275" w:type="dxa"/>
            <w:vAlign w:val="center"/>
          </w:tcPr>
          <w:p w14:paraId="1818192C"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67.3%</w:t>
            </w:r>
          </w:p>
        </w:tc>
        <w:tc>
          <w:tcPr>
            <w:tcW w:w="1134" w:type="dxa"/>
            <w:vAlign w:val="center"/>
          </w:tcPr>
          <w:p w14:paraId="6F8A655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0.12*</w:t>
            </w:r>
          </w:p>
        </w:tc>
        <w:tc>
          <w:tcPr>
            <w:tcW w:w="1701" w:type="dxa"/>
            <w:vAlign w:val="center"/>
          </w:tcPr>
          <w:p w14:paraId="2B5E382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0.045 to 0.32</w:t>
            </w:r>
          </w:p>
        </w:tc>
      </w:tr>
      <w:tr w:rsidR="00996131" w14:paraId="7E09CD5B" w14:textId="77777777" w:rsidTr="006A5140">
        <w:tc>
          <w:tcPr>
            <w:tcW w:w="1668" w:type="dxa"/>
          </w:tcPr>
          <w:p w14:paraId="7EE28AF4" w14:textId="77777777" w:rsidR="00996131" w:rsidRPr="008742B1" w:rsidRDefault="00996131" w:rsidP="006A5140">
            <w:pPr>
              <w:autoSpaceDE w:val="0"/>
              <w:autoSpaceDN w:val="0"/>
              <w:adjustRightInd w:val="0"/>
              <w:rPr>
                <w:color w:val="000000"/>
                <w:lang w:eastAsia="en-GB"/>
              </w:rPr>
            </w:pPr>
          </w:p>
        </w:tc>
        <w:tc>
          <w:tcPr>
            <w:tcW w:w="2268" w:type="dxa"/>
          </w:tcPr>
          <w:p w14:paraId="53F9A1E9"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one child</w:t>
            </w:r>
          </w:p>
        </w:tc>
        <w:tc>
          <w:tcPr>
            <w:tcW w:w="1134" w:type="dxa"/>
            <w:vAlign w:val="center"/>
          </w:tcPr>
          <w:p w14:paraId="2AC5377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94/106</w:t>
            </w:r>
          </w:p>
        </w:tc>
        <w:tc>
          <w:tcPr>
            <w:tcW w:w="1275" w:type="dxa"/>
            <w:vAlign w:val="center"/>
          </w:tcPr>
          <w:p w14:paraId="6AECD50C"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88.7%</w:t>
            </w:r>
          </w:p>
        </w:tc>
        <w:tc>
          <w:tcPr>
            <w:tcW w:w="1134" w:type="dxa"/>
            <w:vAlign w:val="center"/>
          </w:tcPr>
          <w:p w14:paraId="1AB615E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0.47</w:t>
            </w:r>
          </w:p>
        </w:tc>
        <w:tc>
          <w:tcPr>
            <w:tcW w:w="1701" w:type="dxa"/>
            <w:vAlign w:val="center"/>
          </w:tcPr>
          <w:p w14:paraId="567267E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0.155 to 1.42</w:t>
            </w:r>
          </w:p>
        </w:tc>
      </w:tr>
      <w:tr w:rsidR="00996131" w14:paraId="32C2E214" w14:textId="77777777" w:rsidTr="006A5140">
        <w:tc>
          <w:tcPr>
            <w:tcW w:w="1668" w:type="dxa"/>
          </w:tcPr>
          <w:p w14:paraId="5918093A" w14:textId="77777777" w:rsidR="00996131" w:rsidRPr="008742B1" w:rsidRDefault="00996131" w:rsidP="006A5140">
            <w:pPr>
              <w:autoSpaceDE w:val="0"/>
              <w:autoSpaceDN w:val="0"/>
              <w:adjustRightInd w:val="0"/>
              <w:rPr>
                <w:color w:val="000000"/>
                <w:lang w:eastAsia="en-GB"/>
              </w:rPr>
            </w:pPr>
          </w:p>
        </w:tc>
        <w:tc>
          <w:tcPr>
            <w:tcW w:w="2268" w:type="dxa"/>
          </w:tcPr>
          <w:p w14:paraId="0A26E8F0"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two of more children</w:t>
            </w:r>
          </w:p>
        </w:tc>
        <w:tc>
          <w:tcPr>
            <w:tcW w:w="1134" w:type="dxa"/>
            <w:vAlign w:val="center"/>
          </w:tcPr>
          <w:p w14:paraId="11C3042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74/79</w:t>
            </w:r>
          </w:p>
        </w:tc>
        <w:tc>
          <w:tcPr>
            <w:tcW w:w="1275" w:type="dxa"/>
            <w:vAlign w:val="center"/>
          </w:tcPr>
          <w:p w14:paraId="0181F74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93.6%</w:t>
            </w:r>
          </w:p>
        </w:tc>
        <w:tc>
          <w:tcPr>
            <w:tcW w:w="1134" w:type="dxa"/>
            <w:vAlign w:val="center"/>
          </w:tcPr>
          <w:p w14:paraId="71F8F6D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w:t>
            </w:r>
          </w:p>
        </w:tc>
        <w:tc>
          <w:tcPr>
            <w:tcW w:w="1701" w:type="dxa"/>
            <w:vAlign w:val="center"/>
          </w:tcPr>
          <w:p w14:paraId="7723C82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w:t>
            </w:r>
          </w:p>
        </w:tc>
      </w:tr>
      <w:tr w:rsidR="00996131" w14:paraId="503148D1" w14:textId="77777777" w:rsidTr="006A5140">
        <w:tc>
          <w:tcPr>
            <w:tcW w:w="1668" w:type="dxa"/>
          </w:tcPr>
          <w:p w14:paraId="7967E59D"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gestation</w:t>
            </w:r>
          </w:p>
        </w:tc>
        <w:tc>
          <w:tcPr>
            <w:tcW w:w="2268" w:type="dxa"/>
          </w:tcPr>
          <w:p w14:paraId="21E0BBC3"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40 wks</w:t>
            </w:r>
          </w:p>
        </w:tc>
        <w:tc>
          <w:tcPr>
            <w:tcW w:w="1134" w:type="dxa"/>
            <w:vAlign w:val="center"/>
          </w:tcPr>
          <w:p w14:paraId="458FE7E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116/148</w:t>
            </w:r>
          </w:p>
        </w:tc>
        <w:tc>
          <w:tcPr>
            <w:tcW w:w="1275" w:type="dxa"/>
            <w:vAlign w:val="center"/>
          </w:tcPr>
          <w:p w14:paraId="3CC06E5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78.4%</w:t>
            </w:r>
          </w:p>
        </w:tc>
        <w:tc>
          <w:tcPr>
            <w:tcW w:w="1134" w:type="dxa"/>
            <w:vAlign w:val="center"/>
          </w:tcPr>
          <w:p w14:paraId="3D570A1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0.69</w:t>
            </w:r>
          </w:p>
        </w:tc>
        <w:tc>
          <w:tcPr>
            <w:tcW w:w="1701" w:type="dxa"/>
            <w:vAlign w:val="center"/>
          </w:tcPr>
          <w:p w14:paraId="4F2B6E3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0.37 to 1.29</w:t>
            </w:r>
          </w:p>
        </w:tc>
      </w:tr>
      <w:tr w:rsidR="00996131" w14:paraId="7290D65B" w14:textId="77777777" w:rsidTr="006A5140">
        <w:tc>
          <w:tcPr>
            <w:tcW w:w="1668" w:type="dxa"/>
          </w:tcPr>
          <w:p w14:paraId="0DC36347" w14:textId="77777777" w:rsidR="00996131" w:rsidRPr="008742B1" w:rsidRDefault="00996131" w:rsidP="006A5140">
            <w:pPr>
              <w:autoSpaceDE w:val="0"/>
              <w:autoSpaceDN w:val="0"/>
              <w:adjustRightInd w:val="0"/>
              <w:rPr>
                <w:color w:val="000000"/>
                <w:lang w:eastAsia="en-GB"/>
              </w:rPr>
            </w:pPr>
          </w:p>
        </w:tc>
        <w:tc>
          <w:tcPr>
            <w:tcW w:w="2268" w:type="dxa"/>
          </w:tcPr>
          <w:p w14:paraId="1BC45D1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40 to 41 weeks</w:t>
            </w:r>
          </w:p>
        </w:tc>
        <w:tc>
          <w:tcPr>
            <w:tcW w:w="1134" w:type="dxa"/>
            <w:vAlign w:val="center"/>
          </w:tcPr>
          <w:p w14:paraId="5734A521"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75/98</w:t>
            </w:r>
          </w:p>
        </w:tc>
        <w:tc>
          <w:tcPr>
            <w:tcW w:w="1275" w:type="dxa"/>
            <w:vAlign w:val="center"/>
          </w:tcPr>
          <w:p w14:paraId="19AFD86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76.5%</w:t>
            </w:r>
          </w:p>
        </w:tc>
        <w:tc>
          <w:tcPr>
            <w:tcW w:w="1134" w:type="dxa"/>
            <w:vAlign w:val="center"/>
          </w:tcPr>
          <w:p w14:paraId="0A0DB31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0.85</w:t>
            </w:r>
          </w:p>
        </w:tc>
        <w:tc>
          <w:tcPr>
            <w:tcW w:w="1701" w:type="dxa"/>
            <w:vAlign w:val="center"/>
          </w:tcPr>
          <w:p w14:paraId="4A9C8B17"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0.44 to 1.67</w:t>
            </w:r>
          </w:p>
        </w:tc>
      </w:tr>
      <w:tr w:rsidR="00996131" w14:paraId="76EA3940" w14:textId="77777777" w:rsidTr="006A5140">
        <w:tc>
          <w:tcPr>
            <w:tcW w:w="1668" w:type="dxa"/>
          </w:tcPr>
          <w:p w14:paraId="397C5B91" w14:textId="77777777" w:rsidR="00996131" w:rsidRPr="008742B1" w:rsidRDefault="00996131" w:rsidP="006A5140">
            <w:pPr>
              <w:autoSpaceDE w:val="0"/>
              <w:autoSpaceDN w:val="0"/>
              <w:adjustRightInd w:val="0"/>
              <w:rPr>
                <w:color w:val="000000"/>
                <w:lang w:eastAsia="en-GB"/>
              </w:rPr>
            </w:pPr>
          </w:p>
        </w:tc>
        <w:tc>
          <w:tcPr>
            <w:tcW w:w="2268" w:type="dxa"/>
          </w:tcPr>
          <w:p w14:paraId="72D1A2EA"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42 weeks</w:t>
            </w:r>
          </w:p>
        </w:tc>
        <w:tc>
          <w:tcPr>
            <w:tcW w:w="1134" w:type="dxa"/>
            <w:vAlign w:val="center"/>
          </w:tcPr>
          <w:p w14:paraId="6F63D1A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117/147</w:t>
            </w:r>
          </w:p>
        </w:tc>
        <w:tc>
          <w:tcPr>
            <w:tcW w:w="1275" w:type="dxa"/>
            <w:vAlign w:val="center"/>
          </w:tcPr>
          <w:p w14:paraId="636F148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79.6%</w:t>
            </w:r>
          </w:p>
        </w:tc>
        <w:tc>
          <w:tcPr>
            <w:tcW w:w="1134" w:type="dxa"/>
            <w:vAlign w:val="center"/>
          </w:tcPr>
          <w:p w14:paraId="3773CB6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w:t>
            </w:r>
          </w:p>
        </w:tc>
        <w:tc>
          <w:tcPr>
            <w:tcW w:w="1701" w:type="dxa"/>
            <w:vAlign w:val="center"/>
          </w:tcPr>
          <w:p w14:paraId="704DE22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w:t>
            </w:r>
          </w:p>
        </w:tc>
      </w:tr>
      <w:tr w:rsidR="00996131" w14:paraId="56D46484" w14:textId="77777777" w:rsidTr="006A5140">
        <w:tc>
          <w:tcPr>
            <w:tcW w:w="1668" w:type="dxa"/>
          </w:tcPr>
          <w:p w14:paraId="12A33DE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BMI</w:t>
            </w:r>
          </w:p>
        </w:tc>
        <w:tc>
          <w:tcPr>
            <w:tcW w:w="2268" w:type="dxa"/>
          </w:tcPr>
          <w:p w14:paraId="1B8B28FB"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24</w:t>
            </w:r>
          </w:p>
        </w:tc>
        <w:tc>
          <w:tcPr>
            <w:tcW w:w="1134" w:type="dxa"/>
            <w:vAlign w:val="center"/>
          </w:tcPr>
          <w:p w14:paraId="44AFD909"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149/180</w:t>
            </w:r>
          </w:p>
        </w:tc>
        <w:tc>
          <w:tcPr>
            <w:tcW w:w="1275" w:type="dxa"/>
            <w:vAlign w:val="center"/>
          </w:tcPr>
          <w:p w14:paraId="2925FC6C"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82.8%</w:t>
            </w:r>
          </w:p>
        </w:tc>
        <w:tc>
          <w:tcPr>
            <w:tcW w:w="1134" w:type="dxa"/>
            <w:vAlign w:val="center"/>
          </w:tcPr>
          <w:p w14:paraId="31518005"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1.36</w:t>
            </w:r>
          </w:p>
        </w:tc>
        <w:tc>
          <w:tcPr>
            <w:tcW w:w="1701" w:type="dxa"/>
            <w:vAlign w:val="center"/>
          </w:tcPr>
          <w:p w14:paraId="1EA90FEB"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0.71 to 2.60</w:t>
            </w:r>
          </w:p>
        </w:tc>
      </w:tr>
      <w:tr w:rsidR="00996131" w14:paraId="4844F55D" w14:textId="77777777" w:rsidTr="006A5140">
        <w:tc>
          <w:tcPr>
            <w:tcW w:w="1668" w:type="dxa"/>
          </w:tcPr>
          <w:p w14:paraId="2D20F3FF" w14:textId="77777777" w:rsidR="00996131" w:rsidRPr="008742B1" w:rsidRDefault="00996131" w:rsidP="006A5140">
            <w:pPr>
              <w:autoSpaceDE w:val="0"/>
              <w:autoSpaceDN w:val="0"/>
              <w:adjustRightInd w:val="0"/>
              <w:rPr>
                <w:color w:val="000000"/>
                <w:lang w:eastAsia="en-GB"/>
              </w:rPr>
            </w:pPr>
          </w:p>
        </w:tc>
        <w:tc>
          <w:tcPr>
            <w:tcW w:w="2268" w:type="dxa"/>
          </w:tcPr>
          <w:p w14:paraId="643D4185"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25 to 29</w:t>
            </w:r>
          </w:p>
        </w:tc>
        <w:tc>
          <w:tcPr>
            <w:tcW w:w="1134" w:type="dxa"/>
            <w:vAlign w:val="center"/>
          </w:tcPr>
          <w:p w14:paraId="1D077AE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82/110</w:t>
            </w:r>
          </w:p>
        </w:tc>
        <w:tc>
          <w:tcPr>
            <w:tcW w:w="1275" w:type="dxa"/>
            <w:vAlign w:val="center"/>
          </w:tcPr>
          <w:p w14:paraId="43021BB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74.5%</w:t>
            </w:r>
          </w:p>
        </w:tc>
        <w:tc>
          <w:tcPr>
            <w:tcW w:w="1134" w:type="dxa"/>
            <w:vAlign w:val="center"/>
          </w:tcPr>
          <w:p w14:paraId="42ED759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0.96</w:t>
            </w:r>
          </w:p>
        </w:tc>
        <w:tc>
          <w:tcPr>
            <w:tcW w:w="1701" w:type="dxa"/>
            <w:vAlign w:val="center"/>
          </w:tcPr>
          <w:p w14:paraId="2AC4502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0.48 to 1.92</w:t>
            </w:r>
          </w:p>
        </w:tc>
      </w:tr>
      <w:tr w:rsidR="00996131" w14:paraId="408A8837" w14:textId="77777777" w:rsidTr="006A5140">
        <w:tc>
          <w:tcPr>
            <w:tcW w:w="1668" w:type="dxa"/>
          </w:tcPr>
          <w:p w14:paraId="1885C5E8" w14:textId="77777777" w:rsidR="00996131" w:rsidRPr="008742B1" w:rsidRDefault="00996131" w:rsidP="006A5140">
            <w:pPr>
              <w:autoSpaceDE w:val="0"/>
              <w:autoSpaceDN w:val="0"/>
              <w:adjustRightInd w:val="0"/>
              <w:rPr>
                <w:color w:val="000000"/>
                <w:lang w:eastAsia="en-GB"/>
              </w:rPr>
            </w:pPr>
          </w:p>
        </w:tc>
        <w:tc>
          <w:tcPr>
            <w:tcW w:w="2268" w:type="dxa"/>
          </w:tcPr>
          <w:p w14:paraId="5F0615F1"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30 and over</w:t>
            </w:r>
          </w:p>
        </w:tc>
        <w:tc>
          <w:tcPr>
            <w:tcW w:w="1134" w:type="dxa"/>
            <w:vAlign w:val="center"/>
          </w:tcPr>
          <w:p w14:paraId="0784B56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77/103</w:t>
            </w:r>
          </w:p>
        </w:tc>
        <w:tc>
          <w:tcPr>
            <w:tcW w:w="1275" w:type="dxa"/>
            <w:vAlign w:val="center"/>
          </w:tcPr>
          <w:p w14:paraId="092F73F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74.8%</w:t>
            </w:r>
          </w:p>
        </w:tc>
        <w:tc>
          <w:tcPr>
            <w:tcW w:w="1134" w:type="dxa"/>
            <w:vAlign w:val="center"/>
          </w:tcPr>
          <w:p w14:paraId="7C801B13"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w:t>
            </w:r>
          </w:p>
        </w:tc>
        <w:tc>
          <w:tcPr>
            <w:tcW w:w="1701" w:type="dxa"/>
            <w:vAlign w:val="center"/>
          </w:tcPr>
          <w:p w14:paraId="599B9406"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w:t>
            </w:r>
          </w:p>
        </w:tc>
      </w:tr>
      <w:tr w:rsidR="00996131" w14:paraId="1EFE2041" w14:textId="77777777" w:rsidTr="006A5140">
        <w:tc>
          <w:tcPr>
            <w:tcW w:w="1668" w:type="dxa"/>
          </w:tcPr>
          <w:p w14:paraId="1D987E40"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centile</w:t>
            </w:r>
          </w:p>
        </w:tc>
        <w:tc>
          <w:tcPr>
            <w:tcW w:w="2268" w:type="dxa"/>
          </w:tcPr>
          <w:p w14:paraId="7E300FAC"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up to 50th</w:t>
            </w:r>
          </w:p>
        </w:tc>
        <w:tc>
          <w:tcPr>
            <w:tcW w:w="1134" w:type="dxa"/>
            <w:vAlign w:val="center"/>
          </w:tcPr>
          <w:p w14:paraId="14D6430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188/232</w:t>
            </w:r>
          </w:p>
        </w:tc>
        <w:tc>
          <w:tcPr>
            <w:tcW w:w="1275" w:type="dxa"/>
            <w:vAlign w:val="center"/>
          </w:tcPr>
          <w:p w14:paraId="7AD73671"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81.0%</w:t>
            </w:r>
          </w:p>
        </w:tc>
        <w:tc>
          <w:tcPr>
            <w:tcW w:w="1134" w:type="dxa"/>
            <w:vAlign w:val="center"/>
          </w:tcPr>
          <w:p w14:paraId="2D507C65"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1.59</w:t>
            </w:r>
          </w:p>
        </w:tc>
        <w:tc>
          <w:tcPr>
            <w:tcW w:w="1701" w:type="dxa"/>
            <w:vAlign w:val="center"/>
          </w:tcPr>
          <w:p w14:paraId="03C1058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0.93 to 2.71</w:t>
            </w:r>
          </w:p>
        </w:tc>
      </w:tr>
      <w:tr w:rsidR="00996131" w14:paraId="4A67FA0B" w14:textId="77777777" w:rsidTr="006A5140">
        <w:tc>
          <w:tcPr>
            <w:tcW w:w="1668" w:type="dxa"/>
          </w:tcPr>
          <w:p w14:paraId="16281C08" w14:textId="77777777" w:rsidR="00996131" w:rsidRPr="008742B1" w:rsidRDefault="00996131" w:rsidP="006A5140">
            <w:pPr>
              <w:autoSpaceDE w:val="0"/>
              <w:autoSpaceDN w:val="0"/>
              <w:adjustRightInd w:val="0"/>
              <w:rPr>
                <w:color w:val="000000"/>
                <w:lang w:eastAsia="en-GB"/>
              </w:rPr>
            </w:pPr>
          </w:p>
        </w:tc>
        <w:tc>
          <w:tcPr>
            <w:tcW w:w="2268" w:type="dxa"/>
          </w:tcPr>
          <w:p w14:paraId="1BC81E26"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above 50th</w:t>
            </w:r>
          </w:p>
        </w:tc>
        <w:tc>
          <w:tcPr>
            <w:tcW w:w="1134" w:type="dxa"/>
            <w:vAlign w:val="center"/>
          </w:tcPr>
          <w:p w14:paraId="673956F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120/161</w:t>
            </w:r>
          </w:p>
        </w:tc>
        <w:tc>
          <w:tcPr>
            <w:tcW w:w="1275" w:type="dxa"/>
            <w:vAlign w:val="center"/>
          </w:tcPr>
          <w:p w14:paraId="1DCA46A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75.0%</w:t>
            </w:r>
          </w:p>
        </w:tc>
        <w:tc>
          <w:tcPr>
            <w:tcW w:w="1134" w:type="dxa"/>
            <w:vAlign w:val="center"/>
          </w:tcPr>
          <w:p w14:paraId="7405575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w:t>
            </w:r>
          </w:p>
        </w:tc>
        <w:tc>
          <w:tcPr>
            <w:tcW w:w="1701" w:type="dxa"/>
            <w:vAlign w:val="center"/>
          </w:tcPr>
          <w:p w14:paraId="0BF4D3A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w:t>
            </w:r>
          </w:p>
        </w:tc>
      </w:tr>
      <w:tr w:rsidR="00996131" w14:paraId="35BED9FE" w14:textId="77777777" w:rsidTr="006A5140">
        <w:tc>
          <w:tcPr>
            <w:tcW w:w="1668" w:type="dxa"/>
          </w:tcPr>
          <w:p w14:paraId="11F04C12" w14:textId="77777777" w:rsidR="00996131" w:rsidRPr="008742B1" w:rsidRDefault="00996131" w:rsidP="006A5140">
            <w:pPr>
              <w:autoSpaceDE w:val="0"/>
              <w:autoSpaceDN w:val="0"/>
              <w:adjustRightInd w:val="0"/>
              <w:spacing w:line="320" w:lineRule="atLeast"/>
              <w:rPr>
                <w:color w:val="000000"/>
                <w:lang w:eastAsia="en-GB"/>
              </w:rPr>
            </w:pPr>
            <w:bookmarkStart w:id="6" w:name="OLE_LINK3"/>
            <w:bookmarkStart w:id="7" w:name="OLE_LINK4"/>
            <w:r w:rsidRPr="008742B1">
              <w:rPr>
                <w:color w:val="000000"/>
                <w:lang w:eastAsia="en-GB"/>
              </w:rPr>
              <w:t>PGE</w:t>
            </w:r>
            <w:r w:rsidRPr="008742B1">
              <w:rPr>
                <w:color w:val="000000"/>
                <w:vertAlign w:val="subscript"/>
                <w:lang w:eastAsia="en-GB"/>
              </w:rPr>
              <w:t>2</w:t>
            </w:r>
            <w:r w:rsidRPr="008742B1">
              <w:rPr>
                <w:color w:val="000000"/>
                <w:lang w:eastAsia="en-GB"/>
              </w:rPr>
              <w:t xml:space="preserve"> </w:t>
            </w:r>
            <w:bookmarkEnd w:id="6"/>
            <w:bookmarkEnd w:id="7"/>
          </w:p>
        </w:tc>
        <w:tc>
          <w:tcPr>
            <w:tcW w:w="2268" w:type="dxa"/>
          </w:tcPr>
          <w:p w14:paraId="4AA2FA5F"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one dose</w:t>
            </w:r>
          </w:p>
        </w:tc>
        <w:tc>
          <w:tcPr>
            <w:tcW w:w="1134" w:type="dxa"/>
            <w:vAlign w:val="center"/>
          </w:tcPr>
          <w:p w14:paraId="696BF25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131/155</w:t>
            </w:r>
          </w:p>
        </w:tc>
        <w:tc>
          <w:tcPr>
            <w:tcW w:w="1275" w:type="dxa"/>
            <w:vAlign w:val="center"/>
          </w:tcPr>
          <w:p w14:paraId="6D3BE52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84.5%</w:t>
            </w:r>
          </w:p>
        </w:tc>
        <w:tc>
          <w:tcPr>
            <w:tcW w:w="1134" w:type="dxa"/>
            <w:vAlign w:val="center"/>
          </w:tcPr>
          <w:p w14:paraId="2DD370F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2.86*</w:t>
            </w:r>
          </w:p>
        </w:tc>
        <w:tc>
          <w:tcPr>
            <w:tcW w:w="1701" w:type="dxa"/>
            <w:vAlign w:val="center"/>
          </w:tcPr>
          <w:p w14:paraId="23A2C07A"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1.21 to 6.79</w:t>
            </w:r>
          </w:p>
        </w:tc>
      </w:tr>
      <w:tr w:rsidR="00996131" w14:paraId="36C394EF" w14:textId="77777777" w:rsidTr="006A5140">
        <w:tc>
          <w:tcPr>
            <w:tcW w:w="1668" w:type="dxa"/>
          </w:tcPr>
          <w:p w14:paraId="75BDBEA9" w14:textId="77777777" w:rsidR="00996131" w:rsidRPr="008742B1" w:rsidRDefault="00996131" w:rsidP="006A5140">
            <w:pPr>
              <w:autoSpaceDE w:val="0"/>
              <w:autoSpaceDN w:val="0"/>
              <w:adjustRightInd w:val="0"/>
              <w:rPr>
                <w:color w:val="000000"/>
                <w:lang w:eastAsia="en-GB"/>
              </w:rPr>
            </w:pPr>
          </w:p>
        </w:tc>
        <w:tc>
          <w:tcPr>
            <w:tcW w:w="2268" w:type="dxa"/>
          </w:tcPr>
          <w:p w14:paraId="0B484DFD"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two doses</w:t>
            </w:r>
          </w:p>
        </w:tc>
        <w:tc>
          <w:tcPr>
            <w:tcW w:w="1134" w:type="dxa"/>
            <w:vAlign w:val="center"/>
          </w:tcPr>
          <w:p w14:paraId="6FE4884C"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157/201</w:t>
            </w:r>
          </w:p>
        </w:tc>
        <w:tc>
          <w:tcPr>
            <w:tcW w:w="1275" w:type="dxa"/>
            <w:vAlign w:val="center"/>
          </w:tcPr>
          <w:p w14:paraId="2D4DBDF4"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78.1%</w:t>
            </w:r>
          </w:p>
        </w:tc>
        <w:tc>
          <w:tcPr>
            <w:tcW w:w="1134" w:type="dxa"/>
            <w:vAlign w:val="center"/>
          </w:tcPr>
          <w:p w14:paraId="1A7CF450"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2.16</w:t>
            </w:r>
          </w:p>
        </w:tc>
        <w:tc>
          <w:tcPr>
            <w:tcW w:w="1701" w:type="dxa"/>
            <w:vAlign w:val="center"/>
          </w:tcPr>
          <w:p w14:paraId="46B55D28"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0.97  to 4.78</w:t>
            </w:r>
          </w:p>
        </w:tc>
      </w:tr>
      <w:tr w:rsidR="00996131" w14:paraId="2F8FAD67" w14:textId="77777777" w:rsidTr="006A5140">
        <w:tc>
          <w:tcPr>
            <w:tcW w:w="1668" w:type="dxa"/>
          </w:tcPr>
          <w:p w14:paraId="083560A8" w14:textId="77777777" w:rsidR="00996131" w:rsidRPr="008742B1" w:rsidRDefault="00996131" w:rsidP="006A5140">
            <w:pPr>
              <w:autoSpaceDE w:val="0"/>
              <w:autoSpaceDN w:val="0"/>
              <w:adjustRightInd w:val="0"/>
              <w:rPr>
                <w:color w:val="000000"/>
                <w:lang w:eastAsia="en-GB"/>
              </w:rPr>
            </w:pPr>
          </w:p>
        </w:tc>
        <w:tc>
          <w:tcPr>
            <w:tcW w:w="2268" w:type="dxa"/>
          </w:tcPr>
          <w:p w14:paraId="02C9B99E" w14:textId="77777777" w:rsidR="00996131" w:rsidRPr="008742B1" w:rsidRDefault="00996131" w:rsidP="006A5140">
            <w:pPr>
              <w:autoSpaceDE w:val="0"/>
              <w:autoSpaceDN w:val="0"/>
              <w:adjustRightInd w:val="0"/>
              <w:spacing w:line="320" w:lineRule="atLeast"/>
              <w:rPr>
                <w:color w:val="000000"/>
                <w:lang w:eastAsia="en-GB"/>
              </w:rPr>
            </w:pPr>
            <w:r w:rsidRPr="008742B1">
              <w:rPr>
                <w:color w:val="000000"/>
                <w:lang w:eastAsia="en-GB"/>
              </w:rPr>
              <w:t>three doses</w:t>
            </w:r>
          </w:p>
        </w:tc>
        <w:tc>
          <w:tcPr>
            <w:tcW w:w="1134" w:type="dxa"/>
            <w:vAlign w:val="center"/>
          </w:tcPr>
          <w:p w14:paraId="0FE298CD"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20/37</w:t>
            </w:r>
          </w:p>
        </w:tc>
        <w:tc>
          <w:tcPr>
            <w:tcW w:w="1275" w:type="dxa"/>
            <w:vAlign w:val="center"/>
          </w:tcPr>
          <w:p w14:paraId="030C9F02"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54.1%</w:t>
            </w:r>
          </w:p>
        </w:tc>
        <w:tc>
          <w:tcPr>
            <w:tcW w:w="1134" w:type="dxa"/>
            <w:vAlign w:val="center"/>
          </w:tcPr>
          <w:p w14:paraId="163CD27E"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1</w:t>
            </w:r>
          </w:p>
        </w:tc>
        <w:tc>
          <w:tcPr>
            <w:tcW w:w="1701" w:type="dxa"/>
            <w:vAlign w:val="center"/>
          </w:tcPr>
          <w:p w14:paraId="3663D92F" w14:textId="77777777" w:rsidR="00996131" w:rsidRPr="008742B1" w:rsidRDefault="00996131" w:rsidP="006A5140">
            <w:pPr>
              <w:autoSpaceDE w:val="0"/>
              <w:autoSpaceDN w:val="0"/>
              <w:adjustRightInd w:val="0"/>
              <w:spacing w:line="320" w:lineRule="atLeast"/>
              <w:jc w:val="right"/>
              <w:rPr>
                <w:color w:val="000000"/>
                <w:lang w:eastAsia="en-GB"/>
              </w:rPr>
            </w:pPr>
            <w:r w:rsidRPr="008742B1">
              <w:rPr>
                <w:color w:val="000000"/>
                <w:lang w:eastAsia="en-GB"/>
              </w:rPr>
              <w:t>.</w:t>
            </w:r>
          </w:p>
        </w:tc>
      </w:tr>
    </w:tbl>
    <w:p w14:paraId="35FC0D47" w14:textId="77777777" w:rsidR="00996131" w:rsidRDefault="00996131" w:rsidP="00996131">
      <w:pPr>
        <w:autoSpaceDE w:val="0"/>
        <w:autoSpaceDN w:val="0"/>
        <w:adjustRightInd w:val="0"/>
        <w:rPr>
          <w:lang w:eastAsia="en-GB"/>
        </w:rPr>
      </w:pPr>
      <w:r>
        <w:rPr>
          <w:lang w:eastAsia="en-GB"/>
        </w:rPr>
        <w:t>Pseudo R</w:t>
      </w:r>
      <w:r w:rsidRPr="00F56585">
        <w:rPr>
          <w:vertAlign w:val="superscript"/>
          <w:lang w:eastAsia="en-GB"/>
        </w:rPr>
        <w:t>2</w:t>
      </w:r>
      <w:r>
        <w:rPr>
          <w:lang w:eastAsia="en-GB"/>
        </w:rPr>
        <w:t xml:space="preserve"> = 0.217 (Nagelkerke); P value &lt; 0.05</w:t>
      </w:r>
    </w:p>
    <w:p w14:paraId="219633DD" w14:textId="77777777" w:rsidR="00996131" w:rsidRDefault="00996131" w:rsidP="00996131">
      <w:pPr>
        <w:spacing w:line="360" w:lineRule="auto"/>
        <w:ind w:left="720" w:hanging="720"/>
      </w:pPr>
    </w:p>
    <w:p w14:paraId="1A505B50" w14:textId="77777777" w:rsidR="00996131" w:rsidRDefault="00996131" w:rsidP="00996131">
      <w:pPr>
        <w:spacing w:line="360" w:lineRule="auto"/>
        <w:ind w:left="720" w:hanging="720"/>
      </w:pPr>
    </w:p>
    <w:p w14:paraId="17CBBE1E" w14:textId="77777777" w:rsidR="00996131" w:rsidRDefault="00996131" w:rsidP="00996131">
      <w:pPr>
        <w:spacing w:line="360" w:lineRule="auto"/>
        <w:ind w:left="720" w:hanging="720"/>
      </w:pPr>
    </w:p>
    <w:p w14:paraId="7E494542" w14:textId="77777777" w:rsidR="00996131" w:rsidRDefault="00996131" w:rsidP="00996131">
      <w:pPr>
        <w:spacing w:line="360" w:lineRule="auto"/>
        <w:ind w:left="720" w:hanging="720"/>
      </w:pPr>
    </w:p>
    <w:p w14:paraId="29DF31EA" w14:textId="77777777" w:rsidR="00996131" w:rsidRDefault="00996131" w:rsidP="00726291">
      <w:pPr>
        <w:spacing w:line="360" w:lineRule="auto"/>
        <w:ind w:left="720" w:hanging="720"/>
      </w:pPr>
    </w:p>
    <w:p w14:paraId="3B86A14B" w14:textId="36E68A1F" w:rsidR="00996131" w:rsidRDefault="00996131" w:rsidP="00726291">
      <w:pPr>
        <w:spacing w:line="360" w:lineRule="auto"/>
        <w:ind w:left="720" w:hanging="720"/>
      </w:pPr>
    </w:p>
    <w:p w14:paraId="454D92DD" w14:textId="4C080CB0" w:rsidR="00996131" w:rsidRDefault="00996131" w:rsidP="00726291">
      <w:pPr>
        <w:spacing w:line="360" w:lineRule="auto"/>
        <w:ind w:left="720" w:hanging="720"/>
      </w:pPr>
    </w:p>
    <w:p w14:paraId="6BDBA50F" w14:textId="64582A95" w:rsidR="00996131" w:rsidRDefault="00996131" w:rsidP="00726291">
      <w:pPr>
        <w:spacing w:line="360" w:lineRule="auto"/>
        <w:ind w:left="720" w:hanging="720"/>
      </w:pPr>
    </w:p>
    <w:p w14:paraId="256672F8" w14:textId="66554997" w:rsidR="00996131" w:rsidRDefault="00996131" w:rsidP="00726291">
      <w:pPr>
        <w:spacing w:line="360" w:lineRule="auto"/>
        <w:ind w:left="720" w:hanging="720"/>
      </w:pPr>
    </w:p>
    <w:p w14:paraId="70F51A37" w14:textId="05FBB38F" w:rsidR="00996131" w:rsidRDefault="00996131" w:rsidP="00726291">
      <w:pPr>
        <w:spacing w:line="360" w:lineRule="auto"/>
        <w:ind w:left="720" w:hanging="720"/>
      </w:pPr>
    </w:p>
    <w:p w14:paraId="242426EE" w14:textId="19F631DC" w:rsidR="00996131" w:rsidRDefault="00996131" w:rsidP="00726291">
      <w:pPr>
        <w:spacing w:line="360" w:lineRule="auto"/>
        <w:ind w:left="720" w:hanging="720"/>
      </w:pPr>
    </w:p>
    <w:p w14:paraId="14E37DA5" w14:textId="7657E9AC" w:rsidR="00996131" w:rsidRDefault="00996131" w:rsidP="00726291">
      <w:pPr>
        <w:spacing w:line="360" w:lineRule="auto"/>
        <w:ind w:left="720" w:hanging="720"/>
      </w:pPr>
    </w:p>
    <w:p w14:paraId="25AC574F" w14:textId="77777777" w:rsidR="00996131" w:rsidRDefault="00996131" w:rsidP="00726291">
      <w:pPr>
        <w:spacing w:line="360" w:lineRule="auto"/>
        <w:ind w:left="720" w:hanging="720"/>
      </w:pPr>
    </w:p>
    <w:sectPr w:rsidR="00996131" w:rsidSect="007262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4CC3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E259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F6A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A7F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C23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082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AAA6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88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6C7E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AC5C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41AD3"/>
    <w:multiLevelType w:val="hybridMultilevel"/>
    <w:tmpl w:val="86EC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86DC4"/>
    <w:multiLevelType w:val="hybridMultilevel"/>
    <w:tmpl w:val="96024FC2"/>
    <w:lvl w:ilvl="0" w:tplc="2B666D5A">
      <w:start w:val="3"/>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6A666E"/>
    <w:multiLevelType w:val="hybridMultilevel"/>
    <w:tmpl w:val="A086AD52"/>
    <w:lvl w:ilvl="0" w:tplc="E2E888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D96"/>
    <w:rsid w:val="00037749"/>
    <w:rsid w:val="000470AB"/>
    <w:rsid w:val="00063B41"/>
    <w:rsid w:val="000663C1"/>
    <w:rsid w:val="000A2340"/>
    <w:rsid w:val="000A7CAD"/>
    <w:rsid w:val="000B6935"/>
    <w:rsid w:val="000F347E"/>
    <w:rsid w:val="000F799E"/>
    <w:rsid w:val="00105B5C"/>
    <w:rsid w:val="00105C14"/>
    <w:rsid w:val="00111786"/>
    <w:rsid w:val="00144F77"/>
    <w:rsid w:val="00157809"/>
    <w:rsid w:val="00171145"/>
    <w:rsid w:val="00190963"/>
    <w:rsid w:val="001C547E"/>
    <w:rsid w:val="001C548F"/>
    <w:rsid w:val="001F5396"/>
    <w:rsid w:val="002049BF"/>
    <w:rsid w:val="00231D43"/>
    <w:rsid w:val="0024651C"/>
    <w:rsid w:val="00263D08"/>
    <w:rsid w:val="00274F9A"/>
    <w:rsid w:val="002753BC"/>
    <w:rsid w:val="002915FE"/>
    <w:rsid w:val="002D4425"/>
    <w:rsid w:val="002D72C2"/>
    <w:rsid w:val="0032170E"/>
    <w:rsid w:val="0033474D"/>
    <w:rsid w:val="003606D8"/>
    <w:rsid w:val="00381001"/>
    <w:rsid w:val="003974AF"/>
    <w:rsid w:val="003A16BA"/>
    <w:rsid w:val="003A6F44"/>
    <w:rsid w:val="003B21F6"/>
    <w:rsid w:val="003C0D76"/>
    <w:rsid w:val="003D3711"/>
    <w:rsid w:val="003F5A6D"/>
    <w:rsid w:val="00411359"/>
    <w:rsid w:val="00412944"/>
    <w:rsid w:val="00416F19"/>
    <w:rsid w:val="00434A3B"/>
    <w:rsid w:val="00436357"/>
    <w:rsid w:val="00454907"/>
    <w:rsid w:val="00464987"/>
    <w:rsid w:val="004704A9"/>
    <w:rsid w:val="00470A6D"/>
    <w:rsid w:val="00487BEF"/>
    <w:rsid w:val="004952F1"/>
    <w:rsid w:val="0049707D"/>
    <w:rsid w:val="004A05E0"/>
    <w:rsid w:val="005054E5"/>
    <w:rsid w:val="00567887"/>
    <w:rsid w:val="00571210"/>
    <w:rsid w:val="005C61B0"/>
    <w:rsid w:val="005D1A28"/>
    <w:rsid w:val="0060101A"/>
    <w:rsid w:val="006230F3"/>
    <w:rsid w:val="00647EFB"/>
    <w:rsid w:val="00657D96"/>
    <w:rsid w:val="00672504"/>
    <w:rsid w:val="006C4629"/>
    <w:rsid w:val="006D0AE5"/>
    <w:rsid w:val="007123BB"/>
    <w:rsid w:val="00726291"/>
    <w:rsid w:val="00742ED9"/>
    <w:rsid w:val="00743C16"/>
    <w:rsid w:val="007667CF"/>
    <w:rsid w:val="007B19BC"/>
    <w:rsid w:val="007B3A00"/>
    <w:rsid w:val="007D39FD"/>
    <w:rsid w:val="007F62AA"/>
    <w:rsid w:val="007F6C6F"/>
    <w:rsid w:val="008106C3"/>
    <w:rsid w:val="00810742"/>
    <w:rsid w:val="008129A8"/>
    <w:rsid w:val="008222AD"/>
    <w:rsid w:val="0082237C"/>
    <w:rsid w:val="0082353C"/>
    <w:rsid w:val="0082619D"/>
    <w:rsid w:val="0086255E"/>
    <w:rsid w:val="008742B1"/>
    <w:rsid w:val="00897665"/>
    <w:rsid w:val="008A15EB"/>
    <w:rsid w:val="008B5BF3"/>
    <w:rsid w:val="008E4E9E"/>
    <w:rsid w:val="008F461E"/>
    <w:rsid w:val="00930E14"/>
    <w:rsid w:val="00986437"/>
    <w:rsid w:val="00996131"/>
    <w:rsid w:val="009A6CBC"/>
    <w:rsid w:val="009F0619"/>
    <w:rsid w:val="009F502C"/>
    <w:rsid w:val="00A171A7"/>
    <w:rsid w:val="00A345D5"/>
    <w:rsid w:val="00A463F5"/>
    <w:rsid w:val="00A50018"/>
    <w:rsid w:val="00A650C2"/>
    <w:rsid w:val="00A85059"/>
    <w:rsid w:val="00AC00C6"/>
    <w:rsid w:val="00AF202F"/>
    <w:rsid w:val="00B01AD2"/>
    <w:rsid w:val="00B15D29"/>
    <w:rsid w:val="00B30F9A"/>
    <w:rsid w:val="00B32051"/>
    <w:rsid w:val="00B42DA9"/>
    <w:rsid w:val="00B45FBC"/>
    <w:rsid w:val="00B63615"/>
    <w:rsid w:val="00B810AA"/>
    <w:rsid w:val="00B84E2D"/>
    <w:rsid w:val="00B84E98"/>
    <w:rsid w:val="00BA1334"/>
    <w:rsid w:val="00BB7999"/>
    <w:rsid w:val="00BC5546"/>
    <w:rsid w:val="00BD4BBC"/>
    <w:rsid w:val="00BF0AC6"/>
    <w:rsid w:val="00BF483D"/>
    <w:rsid w:val="00C05059"/>
    <w:rsid w:val="00C06762"/>
    <w:rsid w:val="00C152C9"/>
    <w:rsid w:val="00C37722"/>
    <w:rsid w:val="00C45ED3"/>
    <w:rsid w:val="00C51171"/>
    <w:rsid w:val="00C647A1"/>
    <w:rsid w:val="00C72224"/>
    <w:rsid w:val="00C85470"/>
    <w:rsid w:val="00C87310"/>
    <w:rsid w:val="00C93E95"/>
    <w:rsid w:val="00CB5698"/>
    <w:rsid w:val="00CD6987"/>
    <w:rsid w:val="00CD6E90"/>
    <w:rsid w:val="00D03724"/>
    <w:rsid w:val="00D106E6"/>
    <w:rsid w:val="00D33E4F"/>
    <w:rsid w:val="00D910B0"/>
    <w:rsid w:val="00DF7308"/>
    <w:rsid w:val="00E30203"/>
    <w:rsid w:val="00E31496"/>
    <w:rsid w:val="00E365F4"/>
    <w:rsid w:val="00E52286"/>
    <w:rsid w:val="00E52AD4"/>
    <w:rsid w:val="00EA3BBE"/>
    <w:rsid w:val="00EA73A9"/>
    <w:rsid w:val="00ED5656"/>
    <w:rsid w:val="00EE36E6"/>
    <w:rsid w:val="00F056FD"/>
    <w:rsid w:val="00F17C13"/>
    <w:rsid w:val="00F23C60"/>
    <w:rsid w:val="00F350F2"/>
    <w:rsid w:val="00F454E4"/>
    <w:rsid w:val="00F554CD"/>
    <w:rsid w:val="00F56585"/>
    <w:rsid w:val="00F721FE"/>
    <w:rsid w:val="00F73439"/>
    <w:rsid w:val="00FA143C"/>
    <w:rsid w:val="00FB09FC"/>
    <w:rsid w:val="00FC034F"/>
    <w:rsid w:val="00FD1658"/>
    <w:rsid w:val="00FF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DC7B874"/>
  <w15:chartTrackingRefBased/>
  <w15:docId w15:val="{78E86C24-B185-4942-95C2-73562144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eastAsia="en-US"/>
    </w:rPr>
  </w:style>
  <w:style w:type="paragraph" w:styleId="Heading1">
    <w:name w:val="heading 1"/>
    <w:basedOn w:val="Normal"/>
    <w:next w:val="Normal"/>
    <w:link w:val="Heading1Char"/>
    <w:uiPriority w:val="9"/>
    <w:qFormat/>
    <w:rsid w:val="00C85470"/>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C152C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504"/>
    <w:rPr>
      <w:color w:val="0000FF"/>
      <w:u w:val="single"/>
    </w:rPr>
  </w:style>
  <w:style w:type="character" w:customStyle="1" w:styleId="rwrro">
    <w:name w:val="rwrro"/>
    <w:basedOn w:val="DefaultParagraphFont"/>
    <w:rsid w:val="00CB5698"/>
  </w:style>
  <w:style w:type="character" w:customStyle="1" w:styleId="Heading1Char">
    <w:name w:val="Heading 1 Char"/>
    <w:basedOn w:val="DefaultParagraphFont"/>
    <w:link w:val="Heading1"/>
    <w:uiPriority w:val="9"/>
    <w:rsid w:val="00C85470"/>
    <w:rPr>
      <w:rFonts w:ascii="Cambria" w:eastAsia="Times New Roman" w:hAnsi="Cambria" w:cs="Times New Roman"/>
      <w:b/>
      <w:bCs/>
      <w:kern w:val="32"/>
      <w:sz w:val="32"/>
      <w:szCs w:val="32"/>
      <w:lang w:eastAsia="en-US"/>
    </w:rPr>
  </w:style>
  <w:style w:type="character" w:customStyle="1" w:styleId="smallcopy">
    <w:name w:val="smallcopy"/>
    <w:basedOn w:val="DefaultParagraphFont"/>
    <w:rsid w:val="000A7CAD"/>
  </w:style>
  <w:style w:type="table" w:styleId="TableGrid">
    <w:name w:val="Table Grid"/>
    <w:basedOn w:val="TableNormal"/>
    <w:rsid w:val="00BD4BBC"/>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rsid w:val="00C152C9"/>
    <w:pPr>
      <w:spacing w:after="120"/>
    </w:pPr>
  </w:style>
  <w:style w:type="paragraph" w:customStyle="1" w:styleId="authlist">
    <w:name w:val="auth_list"/>
    <w:basedOn w:val="Normal"/>
    <w:rsid w:val="0099613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AL_get(this,%20'jour',%20'Med%20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What factors influence, and correlate with, success of prostaglandin E2 applictaion for induced labour</vt:lpstr>
    </vt:vector>
  </TitlesOfParts>
  <Company>North Cumbria Acute Hospitals NHS Trust</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factors influence, and correlate with, success of prostaglandin E2 applictaion for induced labour</dc:title>
  <dc:subject/>
  <dc:creator>jonker</dc:creator>
  <cp:keywords/>
  <cp:lastModifiedBy>Stephens, Anna</cp:lastModifiedBy>
  <cp:revision>2</cp:revision>
  <cp:lastPrinted>2010-03-15T10:16:00Z</cp:lastPrinted>
  <dcterms:created xsi:type="dcterms:W3CDTF">2022-04-26T09:30:00Z</dcterms:created>
  <dcterms:modified xsi:type="dcterms:W3CDTF">2022-04-26T09:30:00Z</dcterms:modified>
</cp:coreProperties>
</file>